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widowControl w:val="false"/>
        <w:pBdr/>
        <w:spacing/>
        <w:ind w:firstLine="906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  <w:sz w:val="20"/>
          <w:szCs w:val="20"/>
        </w:rPr>
        <w:t xml:space="preserve">Приложение 26 к Положению о</w:t>
      </w:r>
      <w:r>
        <w:rPr>
          <w:rFonts w:ascii="Times New Roman CYR" w:hAnsi="Times New Roman CYR" w:cs="Times New Roman CYR"/>
        </w:rPr>
      </w:r>
      <w:r>
        <w:rPr>
          <w:rFonts w:ascii="Times New Roman CYR" w:hAnsi="Times New Roman CYR" w:cs="Times New Roman CYR"/>
        </w:rPr>
      </w:r>
    </w:p>
    <w:p>
      <w:pPr>
        <w:widowControl w:val="false"/>
        <w:pBdr/>
        <w:spacing/>
        <w:ind w:firstLine="9060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 xml:space="preserve"> раскрытии информации эмитентами</w:t>
      </w:r>
      <w:r>
        <w:rPr>
          <w:rFonts w:ascii="Times New Roman CYR" w:hAnsi="Times New Roman CYR" w:cs="Times New Roman CYR"/>
          <w:sz w:val="20"/>
          <w:szCs w:val="20"/>
        </w:rPr>
      </w:r>
      <w:r>
        <w:rPr>
          <w:rFonts w:ascii="Times New Roman CYR" w:hAnsi="Times New Roman CYR" w:cs="Times New Roman CYR"/>
          <w:sz w:val="20"/>
          <w:szCs w:val="20"/>
        </w:rPr>
      </w:r>
    </w:p>
    <w:p>
      <w:pPr>
        <w:widowControl w:val="false"/>
        <w:pBdr/>
        <w:spacing/>
        <w:ind w:firstLine="9060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 xml:space="preserve"> эмиссионных ценных бумаг</w:t>
      </w:r>
      <w:r>
        <w:rPr>
          <w:rFonts w:ascii="Times New Roman CYR" w:hAnsi="Times New Roman CYR" w:cs="Times New Roman CYR"/>
          <w:sz w:val="20"/>
          <w:szCs w:val="20"/>
        </w:rPr>
      </w:r>
      <w:r>
        <w:rPr>
          <w:rFonts w:ascii="Times New Roman CYR" w:hAnsi="Times New Roman CYR" w:cs="Times New Roman CYR"/>
          <w:sz w:val="20"/>
          <w:szCs w:val="20"/>
        </w:rPr>
      </w:r>
    </w:p>
    <w:p>
      <w:pPr>
        <w:widowControl w:val="false"/>
        <w:pBdr/>
        <w:spacing w:before="240"/>
        <w:ind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 xml:space="preserve">А) Форма титульного листа списка аффилированных лиц акционерного общества</w:t>
      </w:r>
      <w:r>
        <w:rPr>
          <w:rFonts w:ascii="Times New Roman CYR" w:hAnsi="Times New Roman CYR" w:cs="Times New Roman CYR"/>
          <w:b/>
          <w:bCs/>
        </w:rPr>
      </w:r>
      <w:r>
        <w:rPr>
          <w:rFonts w:ascii="Times New Roman CYR" w:hAnsi="Times New Roman CYR" w:cs="Times New Roman CYR"/>
          <w:b/>
          <w:bCs/>
        </w:rPr>
      </w:r>
    </w:p>
    <w:p>
      <w:pPr>
        <w:pStyle w:val="831"/>
        <w:pBdr/>
        <w:spacing/>
        <w:ind/>
        <w:jc w:val="center"/>
        <w:rPr>
          <w:rFonts w:ascii="Times New Roman" w:hAnsi="Times New Roman" w:cs="Times New Roman"/>
          <w:color w:val="000000" w:themeColor="text1"/>
          <w:sz w:val="36"/>
          <w:szCs w:val="36"/>
          <w:lang w:val="ru-RU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  <w:lang w:val="ru-RU"/>
        </w:rPr>
        <w:t xml:space="preserve">СПИС</w:t>
      </w:r>
      <w:r>
        <w:rPr>
          <w:rFonts w:ascii="Times New Roman" w:hAnsi="Times New Roman" w:cs="Times New Roman"/>
          <w:color w:val="000000" w:themeColor="text1"/>
          <w:sz w:val="36"/>
          <w:szCs w:val="36"/>
          <w:lang w:val="ru-RU"/>
        </w:rPr>
        <w:t xml:space="preserve">ОК</w:t>
      </w:r>
      <w:r>
        <w:rPr>
          <w:rFonts w:ascii="Times New Roman" w:hAnsi="Times New Roman" w:cs="Times New Roman"/>
          <w:color w:val="000000" w:themeColor="text1"/>
          <w:sz w:val="36"/>
          <w:szCs w:val="36"/>
          <w:lang w:val="ru-RU"/>
        </w:rPr>
        <w:t xml:space="preserve"> АФФИЛИРОВАННЫХ ЛИЦ</w:t>
      </w:r>
      <w:r>
        <w:rPr>
          <w:rFonts w:ascii="Times New Roman" w:hAnsi="Times New Roman" w:cs="Times New Roman"/>
          <w:color w:val="000000" w:themeColor="text1"/>
          <w:sz w:val="36"/>
          <w:szCs w:val="36"/>
          <w:lang w:val="ru-RU"/>
        </w:rPr>
      </w:r>
      <w:r>
        <w:rPr>
          <w:rFonts w:ascii="Times New Roman" w:hAnsi="Times New Roman" w:cs="Times New Roman"/>
          <w:color w:val="000000" w:themeColor="text1"/>
          <w:sz w:val="36"/>
          <w:szCs w:val="36"/>
          <w:lang w:val="ru-RU"/>
        </w:rPr>
      </w:r>
    </w:p>
    <w:p>
      <w:pPr>
        <w:widowControl w:val="false"/>
        <w:pBdr/>
        <w:spacing w:before="120"/>
        <w:ind w:right="2835" w:left="2835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 xml:space="preserve">АКЦИОНЕРНОЕ ОБЩЕСТВО</w:t>
      </w:r>
      <w:r>
        <w:rPr>
          <w:rFonts w:ascii="Times New Roman CYR" w:hAnsi="Times New Roman CYR" w:cs="Times New Roman CYR"/>
          <w:b/>
          <w:bCs/>
        </w:rPr>
      </w:r>
      <w:r>
        <w:rPr>
          <w:rFonts w:ascii="Times New Roman CYR" w:hAnsi="Times New Roman CYR" w:cs="Times New Roman CYR"/>
          <w:b/>
          <w:bCs/>
        </w:rPr>
      </w:r>
    </w:p>
    <w:p>
      <w:pPr>
        <w:widowControl w:val="false"/>
        <w:pBdr/>
        <w:spacing w:before="120"/>
        <w:ind w:right="2835" w:left="2835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 xml:space="preserve"> «АСТРАХАНСКАЯ СЕТЕВЯЗАЛЬНАЯ ФАБРИКА»</w:t>
      </w:r>
      <w:r>
        <w:rPr>
          <w:rFonts w:ascii="Times New Roman CYR" w:hAnsi="Times New Roman CYR" w:cs="Times New Roman CYR"/>
          <w:b/>
          <w:bCs/>
        </w:rPr>
      </w:r>
      <w:r>
        <w:rPr>
          <w:rFonts w:ascii="Times New Roman CYR" w:hAnsi="Times New Roman CYR" w:cs="Times New Roman CYR"/>
          <w:b/>
          <w:bCs/>
        </w:rPr>
      </w:r>
    </w:p>
    <w:p>
      <w:pPr>
        <w:widowControl w:val="false"/>
        <w:pBdr/>
        <w:spacing w:after="240" w:before="240"/>
        <w:ind w:right="2835" w:left="2835"/>
        <w:jc w:val="center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 xml:space="preserve">(указывается полное фирменное наименование акционерного общества)</w:t>
      </w:r>
      <w:r>
        <w:rPr>
          <w:rFonts w:ascii="Times New Roman CYR" w:hAnsi="Times New Roman CYR" w:cs="Times New Roman CYR"/>
          <w:sz w:val="20"/>
          <w:szCs w:val="20"/>
        </w:rPr>
      </w:r>
      <w:r>
        <w:rPr>
          <w:rFonts w:ascii="Times New Roman CYR" w:hAnsi="Times New Roman CYR" w:cs="Times New Roman CYR"/>
          <w:sz w:val="20"/>
          <w:szCs w:val="20"/>
        </w:rPr>
      </w:r>
    </w:p>
    <w:tbl>
      <w:tblPr>
        <w:tblW w:w="0" w:type="auto"/>
        <w:jc w:val="center"/>
        <w:tblBorders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99"/>
        <w:gridCol w:w="963"/>
        <w:gridCol w:w="962"/>
        <w:gridCol w:w="963"/>
        <w:gridCol w:w="962"/>
        <w:gridCol w:w="963"/>
        <w:gridCol w:w="962"/>
        <w:gridCol w:w="963"/>
      </w:tblGrid>
      <w:tr>
        <w:trPr>
          <w:jc w:val="center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499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  <w:t xml:space="preserve">Код эмитента:</w:t>
            </w: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963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962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963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962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963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2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  <w:t xml:space="preserve">–</w:t>
            </w: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963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</w:p>
        </w:tc>
      </w:tr>
    </w:tbl>
    <w:p>
      <w:pPr>
        <w:widowControl w:val="false"/>
        <w:pBdr/>
        <w:spacing/>
        <w:ind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</w:r>
      <w:r>
        <w:rPr>
          <w:rFonts w:ascii="Times New Roman CYR" w:hAnsi="Times New Roman CYR" w:cs="Times New Roman CYR"/>
        </w:rPr>
      </w:r>
      <w:r>
        <w:rPr>
          <w:rFonts w:ascii="Times New Roman CYR" w:hAnsi="Times New Roman CYR" w:cs="Times New Roman CYR"/>
        </w:rPr>
      </w:r>
    </w:p>
    <w:tbl>
      <w:tblPr>
        <w:tblW w:w="0" w:type="auto"/>
        <w:jc w:val="center"/>
        <w:tblBorders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25"/>
        <w:gridCol w:w="1151"/>
        <w:gridCol w:w="1151"/>
        <w:gridCol w:w="1151"/>
        <w:gridCol w:w="1151"/>
        <w:gridCol w:w="1152"/>
        <w:gridCol w:w="1151"/>
        <w:gridCol w:w="1151"/>
        <w:gridCol w:w="1151"/>
        <w:gridCol w:w="1151"/>
        <w:gridCol w:w="1152"/>
      </w:tblGrid>
      <w:tr>
        <w:trPr>
          <w:jc w:val="center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25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  <w:t xml:space="preserve">на</w:t>
            </w: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1151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  <w:t xml:space="preserve">3</w:t>
            </w: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151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  <w:lang w:val="en-US"/>
              </w:rPr>
              <w:t xml:space="preserve">0</w:t>
            </w: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51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1151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  <w:t xml:space="preserve">0</w:t>
            </w: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152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  <w:lang w:val="en-US"/>
              </w:rPr>
              <w:t xml:space="preserve">6</w:t>
            </w: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51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1151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  <w:t xml:space="preserve">2</w:t>
            </w: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1151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  <w:t xml:space="preserve">0</w:t>
            </w: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1151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  <w:t xml:space="preserve">2</w:t>
            </w: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152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  <w:t xml:space="preserve">6</w:t>
            </w: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  <w:r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r>
          </w:p>
        </w:tc>
      </w:tr>
    </w:tbl>
    <w:p>
      <w:pPr>
        <w:widowControl w:val="false"/>
        <w:pBdr/>
        <w:spacing/>
        <w:ind w:right="5073" w:left="284"/>
        <w:jc w:val="center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 xml:space="preserve">(указывается дата, на которую составлен список аффилированных лиц акционерного общества)</w:t>
      </w:r>
      <w:r>
        <w:rPr>
          <w:rFonts w:ascii="Times New Roman CYR" w:hAnsi="Times New Roman CYR" w:cs="Times New Roman CYR"/>
          <w:sz w:val="20"/>
          <w:szCs w:val="20"/>
        </w:rPr>
      </w:r>
      <w:r>
        <w:rPr>
          <w:rFonts w:ascii="Times New Roman CYR" w:hAnsi="Times New Roman CYR" w:cs="Times New Roman CYR"/>
          <w:sz w:val="20"/>
          <w:szCs w:val="20"/>
        </w:rPr>
      </w:r>
    </w:p>
    <w:p>
      <w:pPr>
        <w:widowControl w:val="false"/>
        <w:pBdr/>
        <w:spacing w:before="240"/>
        <w:ind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Место нахождения эмитента</w:t>
      </w:r>
      <w:r>
        <w:rPr>
          <w:rFonts w:ascii="Times New Roman CYR" w:hAnsi="Times New Roman CYR" w:cs="Times New Roman CYR"/>
          <w:b/>
          <w:bCs/>
        </w:rPr>
        <w:t xml:space="preserve">:  414004  г. Астрахань, Ул. Красная Набережная, дом 171</w:t>
      </w:r>
      <w:r>
        <w:rPr>
          <w:rFonts w:ascii="Times New Roman CYR" w:hAnsi="Times New Roman CYR" w:cs="Times New Roman CYR"/>
        </w:rPr>
      </w:r>
      <w:r>
        <w:rPr>
          <w:rFonts w:ascii="Times New Roman CYR" w:hAnsi="Times New Roman CYR" w:cs="Times New Roman CYR"/>
        </w:rPr>
      </w:r>
    </w:p>
    <w:p>
      <w:pPr>
        <w:widowControl w:val="false"/>
        <w:pBdr/>
        <w:spacing/>
        <w:ind w:right="2097" w:left="3119"/>
        <w:jc w:val="center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 xml:space="preserve"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  <w:r>
        <w:rPr>
          <w:rFonts w:ascii="Times New Roman CYR" w:hAnsi="Times New Roman CYR" w:cs="Times New Roman CYR"/>
          <w:sz w:val="20"/>
          <w:szCs w:val="20"/>
        </w:rPr>
      </w:r>
      <w:r>
        <w:rPr>
          <w:rFonts w:ascii="Times New Roman CYR" w:hAnsi="Times New Roman CYR" w:cs="Times New Roman CYR"/>
          <w:sz w:val="20"/>
          <w:szCs w:val="20"/>
        </w:rPr>
      </w:r>
    </w:p>
    <w:p>
      <w:pPr>
        <w:widowControl w:val="false"/>
        <w:pBdr/>
        <w:spacing w:before="240"/>
        <w:ind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Информация, содержащаяся в настоящем списке аффилированных лиц, подлежит раскрытию в соответствии</w:t>
      </w:r>
      <w:r>
        <w:rPr>
          <w:rFonts w:ascii="Times New Roman CYR" w:hAnsi="Times New Roman CYR" w:cs="Times New Roman CYR"/>
          <w:sz w:val="28"/>
          <w:szCs w:val="28"/>
        </w:rPr>
        <w:br/>
        <w:t xml:space="preserve">с законодательством Российской Федерации о ценных бумагах</w:t>
      </w:r>
      <w:r>
        <w:rPr>
          <w:rFonts w:ascii="Times New Roman CYR" w:hAnsi="Times New Roman CYR" w:cs="Times New Roman CYR"/>
          <w:sz w:val="28"/>
          <w:szCs w:val="28"/>
        </w:rPr>
      </w:r>
      <w:r>
        <w:rPr>
          <w:rFonts w:ascii="Times New Roman CYR" w:hAnsi="Times New Roman CYR" w:cs="Times New Roman CYR"/>
          <w:sz w:val="28"/>
          <w:szCs w:val="28"/>
        </w:rPr>
      </w:r>
    </w:p>
    <w:p>
      <w:pPr>
        <w:widowControl w:val="false"/>
        <w:pBdr/>
        <w:spacing w:before="240"/>
        <w:ind/>
        <w:rPr>
          <w:b/>
          <w:bCs/>
        </w:rPr>
      </w:pPr>
      <w:r>
        <w:rPr>
          <w:rFonts w:ascii="Times New Roman CYR" w:hAnsi="Times New Roman CYR" w:cs="Times New Roman CYR"/>
        </w:rPr>
        <w:t xml:space="preserve">Адрес страницы в сети Интернет:  </w:t>
      </w:r>
      <w:hyperlink r:id="rId8" w:tooltip="http://www.astra-nevod.ru" w:history="1">
        <w:r>
          <w:rPr>
            <w:rStyle w:val="836"/>
            <w:b/>
            <w:bCs/>
            <w:lang w:val="en-US"/>
          </w:rPr>
          <w:t xml:space="preserve">http</w:t>
        </w:r>
        <w:r>
          <w:rPr>
            <w:rStyle w:val="836"/>
            <w:rFonts w:ascii="Times New Roman CYR" w:hAnsi="Times New Roman CYR" w:cs="Times New Roman CYR"/>
            <w:b/>
            <w:bCs/>
          </w:rPr>
          <w:t xml:space="preserve">://</w:t>
        </w:r>
        <w:r>
          <w:rPr>
            <w:rStyle w:val="836"/>
            <w:b/>
            <w:bCs/>
            <w:lang w:val="en-US"/>
          </w:rPr>
          <w:t xml:space="preserve">www</w:t>
        </w:r>
        <w:r>
          <w:rPr>
            <w:rStyle w:val="836"/>
            <w:b/>
            <w:bCs/>
          </w:rPr>
          <w:t xml:space="preserve">.</w:t>
        </w:r>
        <w:r>
          <w:rPr>
            <w:rStyle w:val="836"/>
            <w:b/>
            <w:bCs/>
            <w:lang w:val="en-US"/>
          </w:rPr>
          <w:t xml:space="preserve">astra</w:t>
        </w:r>
        <w:r>
          <w:rPr>
            <w:rStyle w:val="836"/>
            <w:b/>
            <w:bCs/>
          </w:rPr>
          <w:t xml:space="preserve">-</w:t>
        </w:r>
        <w:r>
          <w:rPr>
            <w:rStyle w:val="836"/>
            <w:b/>
            <w:bCs/>
            <w:lang w:val="en-US"/>
          </w:rPr>
          <w:t xml:space="preserve">nevod</w:t>
        </w:r>
        <w:r>
          <w:rPr>
            <w:rStyle w:val="836"/>
            <w:rFonts w:ascii="Times New Roman CYR" w:hAnsi="Times New Roman CYR" w:cs="Times New Roman CYR"/>
            <w:b/>
            <w:bCs/>
          </w:rPr>
          <w:t xml:space="preserve">.</w:t>
        </w:r>
        <w:r>
          <w:rPr>
            <w:rStyle w:val="836"/>
            <w:b/>
            <w:bCs/>
            <w:lang w:val="en-US"/>
          </w:rPr>
          <w:t xml:space="preserve">ru</w:t>
        </w:r>
      </w:hyperlink>
      <w:r>
        <w:rPr>
          <w:b/>
          <w:bCs/>
        </w:rPr>
        <w:t xml:space="preserve"> ;     </w:t>
      </w:r>
      <w:r>
        <w:rPr>
          <w:b/>
          <w:bCs/>
        </w:rPr>
        <w:t xml:space="preserve"> </w:t>
      </w:r>
      <w:r>
        <w:rPr>
          <w:color w:val="000000"/>
          <w:sz w:val="27"/>
          <w:szCs w:val="27"/>
        </w:rPr>
        <w:t xml:space="preserve">http://disclosure.1prime.ru/portal/default.aspx?emId=3015001860</w:t>
      </w:r>
      <w:r>
        <w:rPr>
          <w:b/>
          <w:bCs/>
        </w:rPr>
      </w:r>
      <w:r>
        <w:rPr>
          <w:b/>
          <w:bCs/>
        </w:rPr>
      </w:r>
    </w:p>
    <w:p>
      <w:pPr>
        <w:widowControl w:val="false"/>
        <w:pBdr/>
        <w:spacing w:after="240"/>
        <w:ind w:right="2098" w:left="3544"/>
        <w:jc w:val="center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 xml:space="preserve">(указывается адрес страницы в сети Интернет, используемой эмитентом для раскрытия информации)</w:t>
      </w:r>
      <w:r>
        <w:rPr>
          <w:rFonts w:ascii="Times New Roman CYR" w:hAnsi="Times New Roman CYR" w:cs="Times New Roman CYR"/>
          <w:sz w:val="20"/>
          <w:szCs w:val="20"/>
        </w:rPr>
      </w:r>
      <w:r>
        <w:rPr>
          <w:rFonts w:ascii="Times New Roman CYR" w:hAnsi="Times New Roman CYR" w:cs="Times New Roman CYR"/>
          <w:sz w:val="20"/>
          <w:szCs w:val="20"/>
        </w:rPr>
      </w:r>
    </w:p>
    <w:tbl>
      <w:tblPr>
        <w:tblW w:w="0" w:type="auto"/>
        <w:tblBorders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78"/>
        <w:gridCol w:w="500"/>
        <w:gridCol w:w="281"/>
        <w:gridCol w:w="1701"/>
        <w:gridCol w:w="438"/>
        <w:gridCol w:w="420"/>
        <w:gridCol w:w="2120"/>
        <w:gridCol w:w="580"/>
        <w:gridCol w:w="1140"/>
        <w:gridCol w:w="280"/>
        <w:gridCol w:w="2400"/>
        <w:gridCol w:w="3700"/>
      </w:tblGrid>
      <w:tr>
        <w:trPr/>
        <w:tc>
          <w:tcPr>
            <w:gridSpan w:val="7"/>
            <w:tcBorders>
              <w:top w:val="single" w:color="000000" w:sz="2" w:space="0"/>
              <w:left w:val="single" w:color="000000" w:sz="2" w:space="0"/>
              <w:bottom w:val="none" w:color="000000" w:sz="4" w:space="0"/>
              <w:right w:val="none" w:color="000000" w:sz="4" w:space="0"/>
            </w:tcBorders>
            <w:tcW w:w="7438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 w:left="57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Наименование должности уполномоченного лица</w:t>
            </w: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</w:p>
          <w:p>
            <w:pPr>
              <w:widowControl w:val="false"/>
              <w:pBdr/>
              <w:spacing/>
              <w:ind w:right="964" w:left="57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акционерного общества</w:t>
            </w: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</w:p>
        </w:tc>
        <w:tc>
          <w:tcPr>
            <w:gridSpan w:val="2"/>
            <w:tcBorders>
              <w:top w:val="single" w:color="000000" w:sz="2" w:space="0"/>
              <w:left w:val="none" w:color="000000" w:sz="4" w:space="0"/>
              <w:bottom w:val="single" w:color="000000" w:sz="2" w:space="0"/>
              <w:right w:val="none" w:color="000000" w:sz="4" w:space="0"/>
            </w:tcBorders>
            <w:tcW w:w="1720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</w:p>
        </w:tc>
        <w:tc>
          <w:tcPr>
            <w:tcBorders>
              <w:top w:val="single" w:color="000000" w:sz="2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0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</w:p>
        </w:tc>
        <w:tc>
          <w:tcPr>
            <w:tcBorders>
              <w:top w:val="single" w:color="000000" w:sz="2" w:space="0"/>
              <w:left w:val="none" w:color="000000" w:sz="4" w:space="0"/>
              <w:bottom w:val="single" w:color="000000" w:sz="2" w:space="0"/>
              <w:right w:val="none" w:color="000000" w:sz="4" w:space="0"/>
            </w:tcBorders>
            <w:tcW w:w="2400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Бычков </w:t>
            </w:r>
            <w:r>
              <w:rPr>
                <w:rFonts w:ascii="Times New Roman CYR" w:hAnsi="Times New Roman CYR" w:cs="Times New Roman CYR"/>
                <w:b/>
                <w:bCs/>
              </w:rPr>
              <w:t xml:space="preserve">Е</w:t>
            </w:r>
            <w:r>
              <w:rPr>
                <w:rFonts w:ascii="Times New Roman CYR" w:hAnsi="Times New Roman CYR" w:cs="Times New Roman CYR"/>
                <w:b/>
                <w:bCs/>
              </w:rPr>
              <w:t xml:space="preserve">.А.</w:t>
            </w: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</w:p>
        </w:tc>
        <w:tc>
          <w:tcPr>
            <w:tcBorders>
              <w:top w:val="single" w:color="000000" w:sz="2" w:space="0"/>
              <w:left w:val="none" w:color="000000" w:sz="4" w:space="0"/>
              <w:bottom w:val="none" w:color="000000" w:sz="4" w:space="0"/>
              <w:right w:val="single" w:color="000000" w:sz="2" w:space="0"/>
            </w:tcBorders>
            <w:tcW w:w="3700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</w:p>
        </w:tc>
      </w:tr>
      <w:tr>
        <w:trPr/>
        <w:tc>
          <w:tcPr>
            <w:gridSpan w:val="7"/>
            <w:tcBorders>
              <w:top w:val="none" w:color="000000" w:sz="4" w:space="0"/>
              <w:left w:val="single" w:color="000000" w:sz="2" w:space="0"/>
              <w:bottom w:val="none" w:color="000000" w:sz="4" w:space="0"/>
              <w:right w:val="none" w:color="000000" w:sz="4" w:space="0"/>
            </w:tcBorders>
            <w:tcW w:w="7438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20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(подпись)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0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400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(И.О. Фамилия)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2" w:space="0"/>
            </w:tcBorders>
            <w:tcW w:w="3700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single" w:color="000000" w:sz="2" w:space="0"/>
              <w:bottom w:val="none" w:color="000000" w:sz="4" w:space="0"/>
              <w:right w:val="none" w:color="000000" w:sz="4" w:space="0"/>
            </w:tcBorders>
            <w:tcW w:w="1978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 w:left="57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Дата “</w:t>
            </w: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2" w:space="0"/>
              <w:right w:val="none" w:color="000000" w:sz="4" w:space="0"/>
            </w:tcBorders>
            <w:tcW w:w="500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«</w:t>
            </w:r>
            <w:r>
              <w:rPr>
                <w:rFonts w:ascii="Times New Roman CYR" w:hAnsi="Times New Roman CYR" w:cs="Times New Roman CYR"/>
                <w:b/>
                <w:bCs/>
                <w:lang w:val="en-US"/>
              </w:rPr>
              <w:t xml:space="preserve">01</w:t>
            </w:r>
            <w:r>
              <w:rPr>
                <w:rFonts w:ascii="Times New Roman CYR" w:hAnsi="Times New Roman CYR" w:cs="Times New Roman CYR"/>
                <w:b/>
                <w:bCs/>
              </w:rPr>
              <w:t xml:space="preserve">»</w:t>
            </w: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1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2" w:space="0"/>
              <w:right w:val="none" w:color="000000" w:sz="4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 xml:space="preserve">июля</w:t>
            </w:r>
            <w:r>
              <w:rPr>
                <w:rFonts w:ascii="Times New Roman CYR" w:hAnsi="Times New Roman CYR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8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20</w:t>
            </w: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2" w:space="0"/>
              <w:right w:val="none" w:color="000000" w:sz="4" w:space="0"/>
            </w:tcBorders>
            <w:tcW w:w="420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2</w:t>
            </w:r>
            <w:r>
              <w:rPr>
                <w:rFonts w:ascii="Times New Roman CYR" w:hAnsi="Times New Roman CYR" w:cs="Times New Roman CYR"/>
                <w:b/>
                <w:bCs/>
              </w:rPr>
              <w:t xml:space="preserve">6</w:t>
            </w: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700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 w:left="57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г</w:t>
            </w:r>
            <w:r>
              <w:rPr>
                <w:rFonts w:ascii="Times New Roman CYR" w:hAnsi="Times New Roman CYR" w:cs="Times New Roman CYR"/>
              </w:rPr>
              <w:t xml:space="preserve">.</w:t>
            </w: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2" w:space="0"/>
            </w:tcBorders>
            <w:tcW w:w="7520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М.П.</w:t>
            </w: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</w:p>
        </w:tc>
      </w:tr>
      <w:tr>
        <w:trPr>
          <w:trHeight w:val="99"/>
        </w:trPr>
        <w:tc>
          <w:tcPr>
            <w:tcBorders>
              <w:top w:val="none" w:color="000000" w:sz="4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1978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2" w:space="0"/>
              <w:right w:val="none" w:color="000000" w:sz="4" w:space="0"/>
            </w:tcBorders>
            <w:tcW w:w="500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2" w:space="0"/>
              <w:right w:val="none" w:color="000000" w:sz="4" w:space="0"/>
            </w:tcBorders>
            <w:tcW w:w="281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2" w:space="0"/>
              <w:right w:val="none" w:color="000000" w:sz="4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2" w:space="0"/>
              <w:right w:val="none" w:color="000000" w:sz="4" w:space="0"/>
            </w:tcBorders>
            <w:tcW w:w="438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2" w:space="0"/>
              <w:right w:val="none" w:color="000000" w:sz="4" w:space="0"/>
            </w:tcBorders>
            <w:tcW w:w="420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2" w:space="0"/>
              <w:right w:val="none" w:color="000000" w:sz="4" w:space="0"/>
            </w:tcBorders>
            <w:tcW w:w="2700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000000" w:sz="2" w:space="0"/>
              <w:right w:val="single" w:color="000000" w:sz="2" w:space="0"/>
            </w:tcBorders>
            <w:tcW w:w="7520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</w:p>
        </w:tc>
      </w:tr>
    </w:tbl>
    <w:p>
      <w:pPr>
        <w:widowControl w:val="false"/>
        <w:pBdr/>
        <w:spacing/>
        <w:ind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</w:r>
      <w:r>
        <w:rPr>
          <w:rFonts w:ascii="Times New Roman CYR" w:hAnsi="Times New Roman CYR" w:cs="Times New Roman CYR"/>
        </w:rPr>
      </w:r>
      <w:r>
        <w:rPr>
          <w:rFonts w:ascii="Times New Roman CYR" w:hAnsi="Times New Roman CYR" w:cs="Times New Roman CYR"/>
        </w:rPr>
      </w:r>
    </w:p>
    <w:p>
      <w:pPr>
        <w:widowControl w:val="false"/>
        <w:pBdr/>
        <w:spacing w:after="240"/>
        <w:ind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</w:r>
      <w:r>
        <w:rPr>
          <w:rFonts w:ascii="Times New Roman CYR" w:hAnsi="Times New Roman CYR" w:cs="Times New Roman CYR"/>
        </w:rPr>
      </w:r>
      <w:r>
        <w:rPr>
          <w:rFonts w:ascii="Times New Roman CYR" w:hAnsi="Times New Roman CYR" w:cs="Times New Roman CYR"/>
        </w:rPr>
      </w:r>
    </w:p>
    <w:p>
      <w:pPr>
        <w:widowControl w:val="false"/>
        <w:pBdr/>
        <w:spacing w:after="240"/>
        <w:ind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</w:r>
      <w:r>
        <w:rPr>
          <w:rFonts w:ascii="Times New Roman CYR" w:hAnsi="Times New Roman CYR" w:cs="Times New Roman CYR"/>
        </w:rPr>
      </w:r>
      <w:r>
        <w:rPr>
          <w:rFonts w:ascii="Times New Roman CYR" w:hAnsi="Times New Roman CYR" w:cs="Times New Roman CYR"/>
        </w:rPr>
      </w:r>
    </w:p>
    <w:p>
      <w:pPr>
        <w:widowControl w:val="false"/>
        <w:pBdr/>
        <w:spacing w:after="240"/>
        <w:ind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</w:r>
      <w:r>
        <w:rPr>
          <w:rFonts w:ascii="Times New Roman CYR" w:hAnsi="Times New Roman CYR" w:cs="Times New Roman CYR"/>
          <w:b/>
          <w:bCs/>
        </w:rPr>
      </w:r>
      <w:r>
        <w:rPr>
          <w:rFonts w:ascii="Times New Roman CYR" w:hAnsi="Times New Roman CYR" w:cs="Times New Roman CYR"/>
          <w:b/>
          <w:bCs/>
        </w:rPr>
      </w:r>
    </w:p>
    <w:p>
      <w:pPr>
        <w:widowControl w:val="false"/>
        <w:pBdr/>
        <w:spacing w:after="240"/>
        <w:ind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 xml:space="preserve">           Б) Содержание списка а</w:t>
      </w:r>
      <w:r>
        <w:rPr>
          <w:rFonts w:ascii="Times New Roman CYR" w:hAnsi="Times New Roman CYR" w:cs="Times New Roman CYR"/>
          <w:b/>
          <w:bCs/>
        </w:rPr>
        <w:t xml:space="preserve">ффилированных лиц акционерного общества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</w:rPr>
      </w:r>
      <w:r>
        <w:rPr>
          <w:rFonts w:ascii="Times New Roman CYR" w:hAnsi="Times New Roman CYR" w:cs="Times New Roman CYR"/>
          <w:b/>
          <w:bCs/>
        </w:rPr>
      </w:r>
    </w:p>
    <w:tbl>
      <w:tblPr>
        <w:tblW w:w="0" w:type="auto"/>
        <w:tblInd w:w="11634" w:type="dxa"/>
        <w:tblBorders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4"/>
        <w:gridCol w:w="969"/>
      </w:tblGrid>
      <w:tr>
        <w:trPr/>
        <w:tc>
          <w:tcPr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613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Коды эмитента</w:t>
            </w: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644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 w:left="57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ИНН</w:t>
            </w: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</w:p>
        </w:tc>
        <w:tc>
          <w:tcPr>
            <w:tcBorders>
              <w:top w:val="none" w:color="000000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969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 xml:space="preserve">3015001860</w:t>
            </w: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644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 w:left="57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ОГРН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969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1023000824670</w:t>
            </w:r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r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r>
          </w:p>
        </w:tc>
      </w:tr>
    </w:tbl>
    <w:p>
      <w:pPr>
        <w:widowControl w:val="false"/>
        <w:pBdr/>
        <w:spacing w:after="240"/>
        <w:ind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</w:r>
      <w:r>
        <w:rPr>
          <w:rFonts w:ascii="Times New Roman CYR" w:hAnsi="Times New Roman CYR" w:cs="Times New Roman CYR"/>
          <w:b/>
          <w:bCs/>
        </w:rPr>
      </w:r>
      <w:r>
        <w:rPr>
          <w:rFonts w:ascii="Times New Roman CYR" w:hAnsi="Times New Roman CYR" w:cs="Times New Roman CYR"/>
          <w:b/>
          <w:bCs/>
        </w:rPr>
      </w:r>
    </w:p>
    <w:p>
      <w:pPr>
        <w:widowControl w:val="false"/>
        <w:pBdr/>
        <w:spacing w:after="240"/>
        <w:ind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</w:r>
      <w:r>
        <w:rPr>
          <w:rFonts w:ascii="Times New Roman CYR" w:hAnsi="Times New Roman CYR" w:cs="Times New Roman CYR"/>
          <w:b/>
          <w:bCs/>
        </w:rPr>
      </w:r>
      <w:r>
        <w:rPr>
          <w:rFonts w:ascii="Times New Roman CYR" w:hAnsi="Times New Roman CYR" w:cs="Times New Roman CYR"/>
          <w:b/>
          <w:bCs/>
        </w:rPr>
      </w:r>
    </w:p>
    <w:tbl>
      <w:tblPr>
        <w:tblW w:w="0" w:type="auto"/>
        <w:tblInd w:w="-28" w:type="dxa"/>
        <w:tblBorders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92"/>
        <w:gridCol w:w="598"/>
        <w:gridCol w:w="597"/>
        <w:gridCol w:w="597"/>
        <w:gridCol w:w="597"/>
        <w:gridCol w:w="597"/>
        <w:gridCol w:w="598"/>
        <w:gridCol w:w="597"/>
        <w:gridCol w:w="597"/>
        <w:gridCol w:w="597"/>
        <w:gridCol w:w="598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292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 w:firstLine="567"/>
              <w:rPr>
                <w:rFonts w:ascii="Times New Roman CYR" w:hAnsi="Times New Roman CYR" w:cs="Times New Roman CYR"/>
              </w:rPr>
            </w:pPr>
            <w:r>
              <w:rPr>
                <w:b/>
                <w:bCs/>
                <w:lang w:val="en-US"/>
              </w:rPr>
              <w:t xml:space="preserve">I</w:t>
            </w:r>
            <w:r>
              <w:rPr>
                <w:rFonts w:ascii="Times New Roman CYR" w:hAnsi="Times New Roman CYR" w:cs="Times New Roman CYR"/>
                <w:b/>
                <w:bCs/>
              </w:rPr>
              <w:t xml:space="preserve">. Состав аффилированных лиц на</w:t>
            </w: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598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3</w:t>
            </w: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97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0</w:t>
            </w:r>
            <w:r>
              <w:rPr>
                <w:rFonts w:ascii="Times New Roman CYR" w:hAnsi="Times New Roman CYR" w:cs="Times New Roman CYR"/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97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597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0</w:t>
            </w: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97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6</w:t>
            </w:r>
            <w:r>
              <w:rPr>
                <w:rFonts w:ascii="Times New Roman CYR" w:hAnsi="Times New Roman CYR" w:cs="Times New Roman CYR"/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98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597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2</w:t>
            </w: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597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0</w:t>
            </w: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597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2</w:t>
            </w: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98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6</w:t>
            </w: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</w:p>
        </w:tc>
      </w:tr>
    </w:tbl>
    <w:p>
      <w:pPr>
        <w:widowControl w:val="false"/>
        <w:pBdr/>
        <w:spacing w:after="240"/>
        <w:ind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</w:r>
      <w:r>
        <w:rPr>
          <w:rFonts w:ascii="Times New Roman CYR" w:hAnsi="Times New Roman CYR" w:cs="Times New Roman CYR"/>
          <w:b/>
          <w:bCs/>
        </w:rPr>
      </w:r>
      <w:r>
        <w:rPr>
          <w:rFonts w:ascii="Times New Roman CYR" w:hAnsi="Times New Roman CYR" w:cs="Times New Roman CYR"/>
          <w:b/>
          <w:bCs/>
        </w:rPr>
      </w:r>
    </w:p>
    <w:p>
      <w:pPr>
        <w:widowControl w:val="false"/>
        <w:pBdr/>
        <w:spacing/>
        <w:ind/>
        <w:rPr>
          <w:rFonts w:ascii="Times New Roman CYR" w:hAnsi="Times New Roman CYR" w:cs="Times New Roman CYR"/>
          <w:b/>
        </w:rPr>
      </w:pPr>
      <w:r>
        <w:rPr>
          <w:rFonts w:ascii="Times New Roman CYR" w:hAnsi="Times New Roman CYR" w:cs="Times New Roman CYR"/>
          <w:b/>
        </w:rPr>
        <w:t xml:space="preserve">:</w:t>
      </w:r>
      <w:r>
        <w:rPr>
          <w:rFonts w:ascii="Times New Roman CYR" w:hAnsi="Times New Roman CYR" w:cs="Times New Roman CYR"/>
          <w:b/>
        </w:rPr>
      </w:r>
      <w:r>
        <w:rPr>
          <w:rFonts w:ascii="Times New Roman CYR" w:hAnsi="Times New Roman CYR" w:cs="Times New Roman CYR"/>
          <w:b/>
        </w:rPr>
      </w:r>
    </w:p>
    <w:p>
      <w:pPr>
        <w:widowControl w:val="false"/>
        <w:pBdr/>
        <w:spacing/>
        <w:ind/>
        <w:rPr>
          <w:rFonts w:ascii="Times New Roman CYR" w:hAnsi="Times New Roman CYR" w:cs="Times New Roman CYR"/>
          <w:b/>
        </w:rPr>
      </w:pPr>
      <w:r>
        <w:rPr>
          <w:rFonts w:ascii="Times New Roman CYR" w:hAnsi="Times New Roman CYR" w:cs="Times New Roman CYR"/>
          <w:b/>
        </w:rPr>
      </w:r>
      <w:r>
        <w:rPr>
          <w:rFonts w:ascii="Times New Roman CYR" w:hAnsi="Times New Roman CYR" w:cs="Times New Roman CYR"/>
          <w:b/>
        </w:rPr>
      </w:r>
      <w:r>
        <w:rPr>
          <w:rFonts w:ascii="Times New Roman CYR" w:hAnsi="Times New Roman CYR" w:cs="Times New Roman CYR"/>
          <w:b/>
        </w:rPr>
      </w:r>
    </w:p>
    <w:tbl>
      <w:tblPr>
        <w:tblW w:w="15595" w:type="dxa"/>
        <w:tblInd w:w="10" w:type="dxa"/>
        <w:tblBorders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94"/>
        <w:gridCol w:w="3783"/>
        <w:gridCol w:w="3102"/>
        <w:gridCol w:w="1340"/>
        <w:gridCol w:w="1842"/>
        <w:gridCol w:w="2334"/>
      </w:tblGrid>
      <w:tr>
        <w:trPr/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3194" w:type="dxa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Полное фирменное наименование (наименование для некоммерческой организации) или фамилия, имя, отчество аффилированного лица</w:t>
            </w: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3783" w:type="dxa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Место нахождения юридического лица или место жительства физического лица (указывается только с согласия физического лица)</w:t>
            </w: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3102" w:type="dxa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Основание (основания), в силу которого лицо признается аффилированным</w:t>
            </w: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1340" w:type="dxa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Дата наступления основания (оснований)</w:t>
            </w: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1842" w:type="dxa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Доля участия аффилированно</w:t>
            </w: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</w:p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го лица в уставном капитале акционерного общества, %</w:t>
            </w: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334" w:type="dxa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Доля принадлежащих аффилированному лицу обыкновенных акций акционерного общества, %</w:t>
            </w: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3194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2</w:t>
            </w: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</w:p>
        </w:tc>
        <w:tc>
          <w:tcPr>
            <w:tcBorders>
              <w:top w:val="none" w:color="000000" w:sz="4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3783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3</w:t>
            </w: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</w:p>
        </w:tc>
        <w:tc>
          <w:tcPr>
            <w:tcBorders>
              <w:top w:val="none" w:color="000000" w:sz="4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3102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4</w:t>
            </w: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</w:p>
        </w:tc>
        <w:tc>
          <w:tcPr>
            <w:tcBorders>
              <w:top w:val="none" w:color="000000" w:sz="4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1340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5</w:t>
            </w: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</w:p>
        </w:tc>
        <w:tc>
          <w:tcPr>
            <w:tcBorders>
              <w:top w:val="none" w:color="000000" w:sz="4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6</w:t>
            </w: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</w:p>
        </w:tc>
        <w:tc>
          <w:tcPr>
            <w:tcBorders>
              <w:top w:val="none" w:color="000000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334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7</w:t>
            </w: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3194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 Барасова Халия Утебкалиевна</w:t>
            </w: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</w:p>
          <w:p>
            <w:pPr>
              <w:widowControl w:val="false"/>
              <w:pBdr/>
              <w:spacing/>
              <w:ind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</w:p>
        </w:tc>
        <w:tc>
          <w:tcPr>
            <w:tcBorders>
              <w:top w:val="none" w:color="000000" w:sz="4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3783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г. Астрахань,</w:t>
            </w: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</w:p>
          <w:p>
            <w:pPr>
              <w:widowControl w:val="false"/>
              <w:pBdr/>
              <w:spacing/>
              <w:ind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  <w:r>
              <w:rPr>
                <w:rFonts w:ascii="Times New Roman CYR" w:hAnsi="Times New Roman CYR" w:cs="Times New Roman CYR"/>
              </w:rPr>
            </w:r>
          </w:p>
        </w:tc>
        <w:tc>
          <w:tcPr>
            <w:tcBorders>
              <w:top w:val="none" w:color="000000" w:sz="4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3102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Решение общего годового собрания акционеров</w:t>
            </w: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1340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20.0</w:t>
            </w:r>
            <w:r>
              <w:rPr>
                <w:rFonts w:ascii="Times New Roman CYR" w:hAnsi="Times New Roman CYR" w:cs="Times New Roman CYR"/>
                <w:b/>
                <w:bCs/>
              </w:rPr>
              <w:t xml:space="preserve">5</w:t>
            </w:r>
            <w:r>
              <w:rPr>
                <w:rFonts w:ascii="Times New Roman CYR" w:hAnsi="Times New Roman CYR" w:cs="Times New Roman CYR"/>
                <w:b/>
                <w:bCs/>
              </w:rPr>
              <w:t xml:space="preserve">.20</w:t>
            </w:r>
            <w:r>
              <w:rPr>
                <w:rFonts w:ascii="Times New Roman CYR" w:hAnsi="Times New Roman CYR" w:cs="Times New Roman CYR"/>
                <w:b/>
                <w:bCs/>
              </w:rPr>
              <w:t xml:space="preserve">2</w:t>
            </w:r>
            <w:r>
              <w:rPr>
                <w:rFonts w:ascii="Times New Roman CYR" w:hAnsi="Times New Roman CYR" w:cs="Times New Roman CYR"/>
                <w:b/>
                <w:bCs/>
              </w:rPr>
              <w:t xml:space="preserve">6</w:t>
            </w:r>
            <w:r>
              <w:rPr>
                <w:rFonts w:ascii="Times New Roman CYR" w:hAnsi="Times New Roman CYR" w:cs="Times New Roman CYR"/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3</w:t>
            </w:r>
            <w:r>
              <w:rPr>
                <w:rFonts w:ascii="Times New Roman CYR" w:hAnsi="Times New Roman CYR" w:cs="Times New Roman CYR"/>
                <w:b/>
                <w:bCs/>
              </w:rPr>
              <w:t xml:space="preserve">8</w:t>
            </w:r>
            <w:r>
              <w:rPr>
                <w:rFonts w:ascii="Times New Roman CYR" w:hAnsi="Times New Roman CYR" w:cs="Times New Roman CYR"/>
                <w:b/>
                <w:bCs/>
              </w:rPr>
              <w:t xml:space="preserve">,1</w:t>
            </w:r>
            <w:r>
              <w:rPr>
                <w:rFonts w:ascii="Times New Roman CYR" w:hAnsi="Times New Roman CYR" w:cs="Times New Roman CYR"/>
                <w:b/>
                <w:bCs/>
              </w:rPr>
              <w:t xml:space="preserve">4</w:t>
            </w:r>
            <w:r>
              <w:rPr>
                <w:rFonts w:ascii="Times New Roman CYR" w:hAnsi="Times New Roman CYR" w:cs="Times New Roman CYR"/>
                <w:b/>
                <w:bCs/>
              </w:rPr>
              <w:t xml:space="preserve">%</w:t>
            </w: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334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3</w:t>
            </w:r>
            <w:r>
              <w:rPr>
                <w:rFonts w:ascii="Times New Roman CYR" w:hAnsi="Times New Roman CYR" w:cs="Times New Roman CYR"/>
                <w:b/>
                <w:bCs/>
              </w:rPr>
              <w:t xml:space="preserve">8</w:t>
            </w:r>
            <w:r>
              <w:rPr>
                <w:rFonts w:ascii="Times New Roman CYR" w:hAnsi="Times New Roman CYR" w:cs="Times New Roman CYR"/>
                <w:b/>
                <w:bCs/>
              </w:rPr>
              <w:t xml:space="preserve">,1</w:t>
            </w:r>
            <w:r>
              <w:rPr>
                <w:rFonts w:ascii="Times New Roman CYR" w:hAnsi="Times New Roman CYR" w:cs="Times New Roman CYR"/>
                <w:b/>
                <w:bCs/>
              </w:rPr>
              <w:t xml:space="preserve">4</w:t>
            </w:r>
            <w:r>
              <w:rPr>
                <w:rFonts w:ascii="Times New Roman CYR" w:hAnsi="Times New Roman CYR" w:cs="Times New Roman CYR"/>
                <w:b/>
                <w:bCs/>
              </w:rPr>
              <w:t xml:space="preserve">%</w:t>
            </w: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3194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Бычков Ефим Анатольевич</w:t>
            </w: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</w:p>
          <w:p>
            <w:pPr>
              <w:widowControl w:val="false"/>
              <w:pBdr/>
              <w:spacing/>
              <w:ind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3783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г. Астрахань,</w:t>
            </w: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</w:p>
          <w:p>
            <w:pPr>
              <w:widowControl w:val="false"/>
              <w:pBdr/>
              <w:spacing/>
              <w:ind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3102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Решение общего годового собрания акционеров</w:t>
            </w: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134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20.0</w:t>
            </w:r>
            <w:r>
              <w:rPr>
                <w:rFonts w:ascii="Times New Roman CYR" w:hAnsi="Times New Roman CYR" w:cs="Times New Roman CYR"/>
                <w:b/>
                <w:bCs/>
              </w:rPr>
              <w:t xml:space="preserve">5</w:t>
            </w:r>
            <w:r>
              <w:rPr>
                <w:rFonts w:ascii="Times New Roman CYR" w:hAnsi="Times New Roman CYR" w:cs="Times New Roman CYR"/>
                <w:b/>
                <w:bCs/>
              </w:rPr>
              <w:t xml:space="preserve">.202</w:t>
            </w:r>
            <w:r>
              <w:rPr>
                <w:rFonts w:ascii="Times New Roman CYR" w:hAnsi="Times New Roman CYR" w:cs="Times New Roman CYR"/>
                <w:b/>
                <w:bCs/>
              </w:rPr>
              <w:t xml:space="preserve">6</w:t>
            </w:r>
            <w:r/>
          </w:p>
        </w:tc>
        <w:tc>
          <w:tcPr>
            <w:tcBorders>
              <w:top w:val="none" w:color="000000" w:sz="4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0%</w:t>
            </w: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334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0%</w:t>
            </w: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</w:p>
        </w:tc>
      </w:tr>
      <w:tr>
        <w:trPr>
          <w:trHeight w:val="544"/>
        </w:trPr>
        <w:tc>
          <w:tcPr>
            <w:tcBorders>
              <w:top w:val="none" w:color="000000" w:sz="4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3194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Бычков Анатолий Андреевич</w:t>
            </w: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</w:p>
          <w:p>
            <w:pPr>
              <w:widowControl w:val="false"/>
              <w:pBdr/>
              <w:spacing/>
              <w:ind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3783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г. Астрахань,</w:t>
            </w: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</w:p>
          <w:p>
            <w:pPr>
              <w:widowControl w:val="false"/>
              <w:pBdr/>
              <w:spacing/>
              <w:ind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              </w:t>
            </w: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</w:p>
          <w:p>
            <w:pPr>
              <w:widowControl w:val="false"/>
              <w:pBdr/>
              <w:spacing/>
              <w:ind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3102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Решение общего годового собрания акционеров</w:t>
            </w: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134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20.0</w:t>
            </w:r>
            <w:r>
              <w:rPr>
                <w:rFonts w:ascii="Times New Roman CYR" w:hAnsi="Times New Roman CYR" w:cs="Times New Roman CYR"/>
                <w:b/>
                <w:bCs/>
              </w:rPr>
              <w:t xml:space="preserve">5.202</w:t>
            </w:r>
            <w:r>
              <w:rPr>
                <w:rFonts w:ascii="Times New Roman CYR" w:hAnsi="Times New Roman CYR" w:cs="Times New Roman CYR"/>
                <w:b/>
                <w:bCs/>
              </w:rPr>
              <w:t xml:space="preserve">6</w:t>
            </w:r>
            <w:r/>
          </w:p>
        </w:tc>
        <w:tc>
          <w:tcPr>
            <w:tcBorders>
              <w:top w:val="none" w:color="000000" w:sz="4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38,36%</w:t>
            </w: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334" w:type="dxa"/>
            <w:vAlign w:val="bottom"/>
            <w:textDirection w:val="lrTb"/>
            <w:noWrap w:val="false"/>
          </w:tcPr>
          <w:p>
            <w:pPr>
              <w:widowControl w:val="false"/>
              <w:pBdr/>
              <w:spacing/>
              <w:ind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38,36%</w:t>
            </w:r>
            <w:r>
              <w:rPr>
                <w:rFonts w:ascii="Times New Roman CYR" w:hAnsi="Times New Roman CYR" w:cs="Times New Roman CYR"/>
                <w:b/>
                <w:bCs/>
              </w:rPr>
            </w:r>
            <w:r>
              <w:rPr>
                <w:rFonts w:ascii="Times New Roman CYR" w:hAnsi="Times New Roman CYR" w:cs="Times New Roman CYR"/>
                <w:b/>
                <w:bCs/>
              </w:rPr>
            </w:r>
          </w:p>
        </w:tc>
      </w:tr>
    </w:tbl>
    <w:p>
      <w:pPr>
        <w:widowControl w:val="false"/>
        <w:pBdr/>
        <w:spacing w:after="240"/>
        <w:ind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</w:r>
      <w:r>
        <w:rPr>
          <w:rFonts w:ascii="Times New Roman CYR" w:hAnsi="Times New Roman CYR" w:cs="Times New Roman CYR"/>
          <w:b/>
          <w:bCs/>
        </w:rPr>
      </w:r>
      <w:r>
        <w:rPr>
          <w:rFonts w:ascii="Times New Roman CYR" w:hAnsi="Times New Roman CYR" w:cs="Times New Roman CYR"/>
          <w:b/>
          <w:bCs/>
        </w:rPr>
      </w:r>
    </w:p>
    <w:sectPr>
      <w:footnotePr/>
      <w:endnotePr/>
      <w:type w:val="nextPage"/>
      <w:pgSz w:h="11907" w:orient="landscape" w:w="16840"/>
      <w:pgMar w:top="567" w:right="567" w:bottom="567" w:left="567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doNotHyphenateCaps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eastAsia="ru-RU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4">
    <w:name w:val="Heading 1 Char"/>
    <w:basedOn w:val="832"/>
    <w:link w:val="831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655">
    <w:name w:val="Heading 2"/>
    <w:basedOn w:val="830"/>
    <w:next w:val="830"/>
    <w:link w:val="65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656">
    <w:name w:val="Heading 2 Char"/>
    <w:basedOn w:val="832"/>
    <w:link w:val="655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657">
    <w:name w:val="Heading 3"/>
    <w:basedOn w:val="830"/>
    <w:next w:val="830"/>
    <w:link w:val="65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658">
    <w:name w:val="Heading 3 Char"/>
    <w:basedOn w:val="832"/>
    <w:link w:val="65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659">
    <w:name w:val="Heading 4"/>
    <w:basedOn w:val="830"/>
    <w:next w:val="830"/>
    <w:link w:val="66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0">
    <w:name w:val="Heading 4 Char"/>
    <w:basedOn w:val="832"/>
    <w:link w:val="659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661">
    <w:name w:val="Heading 5"/>
    <w:basedOn w:val="830"/>
    <w:next w:val="830"/>
    <w:link w:val="66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2">
    <w:name w:val="Heading 5 Char"/>
    <w:basedOn w:val="832"/>
    <w:link w:val="66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663">
    <w:name w:val="Heading 6"/>
    <w:basedOn w:val="830"/>
    <w:next w:val="830"/>
    <w:link w:val="66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4">
    <w:name w:val="Heading 6 Char"/>
    <w:basedOn w:val="832"/>
    <w:link w:val="66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665">
    <w:name w:val="Heading 7"/>
    <w:basedOn w:val="830"/>
    <w:next w:val="830"/>
    <w:link w:val="66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6">
    <w:name w:val="Heading 7 Char"/>
    <w:basedOn w:val="832"/>
    <w:link w:val="66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67">
    <w:name w:val="Heading 8"/>
    <w:basedOn w:val="830"/>
    <w:next w:val="830"/>
    <w:link w:val="66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8">
    <w:name w:val="Heading 8 Char"/>
    <w:basedOn w:val="832"/>
    <w:link w:val="66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669">
    <w:name w:val="Heading 9"/>
    <w:basedOn w:val="830"/>
    <w:next w:val="830"/>
    <w:link w:val="67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0">
    <w:name w:val="Heading 9 Char"/>
    <w:basedOn w:val="832"/>
    <w:link w:val="66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671">
    <w:name w:val="List Paragraph"/>
    <w:basedOn w:val="830"/>
    <w:uiPriority w:val="34"/>
    <w:qFormat/>
    <w:pPr>
      <w:pBdr/>
      <w:spacing/>
      <w:ind w:left="720"/>
      <w:contextualSpacing w:val="true"/>
    </w:pPr>
  </w:style>
  <w:style w:type="paragraph" w:styleId="672">
    <w:name w:val="No Spacing"/>
    <w:uiPriority w:val="1"/>
    <w:qFormat/>
    <w:pPr>
      <w:pBdr/>
      <w:spacing w:after="0" w:before="0" w:line="240" w:lineRule="auto"/>
      <w:ind/>
    </w:pPr>
  </w:style>
  <w:style w:type="paragraph" w:styleId="673">
    <w:name w:val="Title"/>
    <w:basedOn w:val="830"/>
    <w:next w:val="830"/>
    <w:link w:val="674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674">
    <w:name w:val="Title Char"/>
    <w:basedOn w:val="832"/>
    <w:link w:val="673"/>
    <w:uiPriority w:val="10"/>
    <w:pPr>
      <w:pBdr/>
      <w:spacing/>
      <w:ind/>
    </w:pPr>
    <w:rPr>
      <w:sz w:val="48"/>
      <w:szCs w:val="48"/>
    </w:rPr>
  </w:style>
  <w:style w:type="paragraph" w:styleId="675">
    <w:name w:val="Subtitle"/>
    <w:basedOn w:val="830"/>
    <w:next w:val="830"/>
    <w:link w:val="676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676">
    <w:name w:val="Subtitle Char"/>
    <w:basedOn w:val="832"/>
    <w:link w:val="675"/>
    <w:uiPriority w:val="11"/>
    <w:pPr>
      <w:pBdr/>
      <w:spacing/>
      <w:ind/>
    </w:pPr>
    <w:rPr>
      <w:sz w:val="24"/>
      <w:szCs w:val="24"/>
    </w:rPr>
  </w:style>
  <w:style w:type="paragraph" w:styleId="677">
    <w:name w:val="Quote"/>
    <w:basedOn w:val="830"/>
    <w:next w:val="830"/>
    <w:link w:val="678"/>
    <w:uiPriority w:val="29"/>
    <w:qFormat/>
    <w:pPr>
      <w:pBdr/>
      <w:spacing/>
      <w:ind w:right="720" w:left="720"/>
    </w:pPr>
    <w:rPr>
      <w:i/>
    </w:rPr>
  </w:style>
  <w:style w:type="character" w:styleId="678">
    <w:name w:val="Quote Char"/>
    <w:link w:val="677"/>
    <w:uiPriority w:val="29"/>
    <w:pPr>
      <w:pBdr/>
      <w:spacing/>
      <w:ind/>
    </w:pPr>
    <w:rPr>
      <w:i/>
    </w:rPr>
  </w:style>
  <w:style w:type="paragraph" w:styleId="679">
    <w:name w:val="Intense Quote"/>
    <w:basedOn w:val="830"/>
    <w:next w:val="830"/>
    <w:link w:val="680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680">
    <w:name w:val="Intense Quote Char"/>
    <w:link w:val="679"/>
    <w:uiPriority w:val="30"/>
    <w:pPr>
      <w:pBdr/>
      <w:spacing/>
      <w:ind/>
    </w:pPr>
    <w:rPr>
      <w:i/>
    </w:rPr>
  </w:style>
  <w:style w:type="paragraph" w:styleId="681">
    <w:name w:val="Header"/>
    <w:basedOn w:val="830"/>
    <w:link w:val="682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682">
    <w:name w:val="Header Char"/>
    <w:basedOn w:val="832"/>
    <w:link w:val="681"/>
    <w:uiPriority w:val="99"/>
    <w:pPr>
      <w:pBdr/>
      <w:spacing/>
      <w:ind/>
    </w:pPr>
  </w:style>
  <w:style w:type="paragraph" w:styleId="683">
    <w:name w:val="Footer"/>
    <w:basedOn w:val="830"/>
    <w:link w:val="686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684">
    <w:name w:val="Footer Char"/>
    <w:basedOn w:val="832"/>
    <w:link w:val="683"/>
    <w:uiPriority w:val="99"/>
    <w:pPr>
      <w:pBdr/>
      <w:spacing/>
      <w:ind/>
    </w:pPr>
  </w:style>
  <w:style w:type="paragraph" w:styleId="685">
    <w:name w:val="Caption"/>
    <w:basedOn w:val="830"/>
    <w:next w:val="830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686">
    <w:name w:val="Caption Char"/>
    <w:basedOn w:val="685"/>
    <w:link w:val="683"/>
    <w:uiPriority w:val="99"/>
    <w:pPr>
      <w:pBdr/>
      <w:spacing/>
      <w:ind/>
    </w:pPr>
  </w:style>
  <w:style w:type="table" w:styleId="687">
    <w:name w:val="Table Grid"/>
    <w:basedOn w:val="83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Table Grid Light"/>
    <w:basedOn w:val="83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Plain Table 1"/>
    <w:basedOn w:val="83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Plain Table 2"/>
    <w:basedOn w:val="83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Plain Table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Plain Table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Plain Table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1 Light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1 Light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1 Light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1 Light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1 Light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1 Light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1 Light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2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2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2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2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2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2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3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3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3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3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3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3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4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4 - Accent 1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4 - Accent 2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4 - Accent 3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4 - Accent 4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4 - Accent 5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4 - Accent 6"/>
    <w:basedOn w:val="83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5 Dark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5 Dark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5 Dark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5 Dark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5 Dark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5 Dark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5 Dark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6 Colorful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6 Colorful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6 Colorful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6 Colorful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6 Colorful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6 Colorful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6 Colorful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7 Colorful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7 Colorful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7 Colorful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7 Colorful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7 Colorful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7 Colorful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7 Colorful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1 Light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1 Light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1 Light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1 Light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1 Light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1 Light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1 Light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2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2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2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2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2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2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3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3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3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3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3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3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4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4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4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4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4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4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5 Dark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5 Dark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5 Dark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5 Dark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5 Dark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5 Dark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5 Dark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6 Colorful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6 Colorful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6 Colorful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6 Colorful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6 Colorful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6 Colorful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6 Colorful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7 Colorful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7 Colorful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7 Colorful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7 Colorful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7 Colorful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7 Colorful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7 Colorful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ned - Accent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ned - Accent 1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ned - Accent 2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ned - Accent 3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ned - Accent 4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ned - Accent 5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ned - Accent 6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Bordered &amp; Lined - Accent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Bordered &amp; Lined - Accent 1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Bordered &amp; Lined - Accent 2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Bordered &amp; Lined - Accent 3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Bordered &amp; Lined - Accent 4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Bordered &amp; Lined - Accent 5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Bordered &amp; Lined - Accent 6"/>
    <w:basedOn w:val="8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Bordered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Bordered - Accent 1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Bordered - Accent 2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Bordered - Accent 3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Bordered - Accent 4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Bordered - Accent 5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Bordered - Accent 6"/>
    <w:basedOn w:val="8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13">
    <w:name w:val="footnote text"/>
    <w:basedOn w:val="830"/>
    <w:link w:val="814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14">
    <w:name w:val="Footnote Text Char"/>
    <w:link w:val="813"/>
    <w:uiPriority w:val="99"/>
    <w:pPr>
      <w:pBdr/>
      <w:spacing/>
      <w:ind/>
    </w:pPr>
    <w:rPr>
      <w:sz w:val="18"/>
    </w:rPr>
  </w:style>
  <w:style w:type="character" w:styleId="815">
    <w:name w:val="footnote reference"/>
    <w:basedOn w:val="832"/>
    <w:uiPriority w:val="99"/>
    <w:unhideWhenUsed/>
    <w:pPr>
      <w:pBdr/>
      <w:spacing/>
      <w:ind/>
    </w:pPr>
    <w:rPr>
      <w:vertAlign w:val="superscript"/>
    </w:rPr>
  </w:style>
  <w:style w:type="paragraph" w:styleId="816">
    <w:name w:val="endnote text"/>
    <w:basedOn w:val="830"/>
    <w:link w:val="817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17">
    <w:name w:val="Endnote Text Char"/>
    <w:link w:val="816"/>
    <w:uiPriority w:val="99"/>
    <w:pPr>
      <w:pBdr/>
      <w:spacing/>
      <w:ind/>
    </w:pPr>
    <w:rPr>
      <w:sz w:val="20"/>
    </w:rPr>
  </w:style>
  <w:style w:type="character" w:styleId="818">
    <w:name w:val="endnote reference"/>
    <w:basedOn w:val="832"/>
    <w:uiPriority w:val="99"/>
    <w:semiHidden/>
    <w:unhideWhenUsed/>
    <w:pPr>
      <w:pBdr/>
      <w:spacing/>
      <w:ind/>
    </w:pPr>
    <w:rPr>
      <w:vertAlign w:val="superscript"/>
    </w:rPr>
  </w:style>
  <w:style w:type="paragraph" w:styleId="819">
    <w:name w:val="toc 1"/>
    <w:basedOn w:val="830"/>
    <w:next w:val="830"/>
    <w:uiPriority w:val="39"/>
    <w:unhideWhenUsed/>
    <w:pPr>
      <w:pBdr/>
      <w:spacing w:after="57"/>
      <w:ind w:right="0" w:firstLine="0" w:left="0"/>
    </w:pPr>
  </w:style>
  <w:style w:type="paragraph" w:styleId="820">
    <w:name w:val="toc 2"/>
    <w:basedOn w:val="830"/>
    <w:next w:val="830"/>
    <w:uiPriority w:val="39"/>
    <w:unhideWhenUsed/>
    <w:pPr>
      <w:pBdr/>
      <w:spacing w:after="57"/>
      <w:ind w:right="0" w:firstLine="0" w:left="283"/>
    </w:pPr>
  </w:style>
  <w:style w:type="paragraph" w:styleId="821">
    <w:name w:val="toc 3"/>
    <w:basedOn w:val="830"/>
    <w:next w:val="830"/>
    <w:uiPriority w:val="39"/>
    <w:unhideWhenUsed/>
    <w:pPr>
      <w:pBdr/>
      <w:spacing w:after="57"/>
      <w:ind w:right="0" w:firstLine="0" w:left="567"/>
    </w:pPr>
  </w:style>
  <w:style w:type="paragraph" w:styleId="822">
    <w:name w:val="toc 4"/>
    <w:basedOn w:val="830"/>
    <w:next w:val="830"/>
    <w:uiPriority w:val="39"/>
    <w:unhideWhenUsed/>
    <w:pPr>
      <w:pBdr/>
      <w:spacing w:after="57"/>
      <w:ind w:right="0" w:firstLine="0" w:left="850"/>
    </w:pPr>
  </w:style>
  <w:style w:type="paragraph" w:styleId="823">
    <w:name w:val="toc 5"/>
    <w:basedOn w:val="830"/>
    <w:next w:val="830"/>
    <w:uiPriority w:val="39"/>
    <w:unhideWhenUsed/>
    <w:pPr>
      <w:pBdr/>
      <w:spacing w:after="57"/>
      <w:ind w:right="0" w:firstLine="0" w:left="1134"/>
    </w:pPr>
  </w:style>
  <w:style w:type="paragraph" w:styleId="824">
    <w:name w:val="toc 6"/>
    <w:basedOn w:val="830"/>
    <w:next w:val="830"/>
    <w:uiPriority w:val="39"/>
    <w:unhideWhenUsed/>
    <w:pPr>
      <w:pBdr/>
      <w:spacing w:after="57"/>
      <w:ind w:right="0" w:firstLine="0" w:left="1417"/>
    </w:pPr>
  </w:style>
  <w:style w:type="paragraph" w:styleId="825">
    <w:name w:val="toc 7"/>
    <w:basedOn w:val="830"/>
    <w:next w:val="830"/>
    <w:uiPriority w:val="39"/>
    <w:unhideWhenUsed/>
    <w:pPr>
      <w:pBdr/>
      <w:spacing w:after="57"/>
      <w:ind w:right="0" w:firstLine="0" w:left="1701"/>
    </w:pPr>
  </w:style>
  <w:style w:type="paragraph" w:styleId="826">
    <w:name w:val="toc 8"/>
    <w:basedOn w:val="830"/>
    <w:next w:val="830"/>
    <w:uiPriority w:val="39"/>
    <w:unhideWhenUsed/>
    <w:pPr>
      <w:pBdr/>
      <w:spacing w:after="57"/>
      <w:ind w:right="0" w:firstLine="0" w:left="1984"/>
    </w:pPr>
  </w:style>
  <w:style w:type="paragraph" w:styleId="827">
    <w:name w:val="toc 9"/>
    <w:basedOn w:val="830"/>
    <w:next w:val="830"/>
    <w:uiPriority w:val="39"/>
    <w:unhideWhenUsed/>
    <w:pPr>
      <w:pBdr/>
      <w:spacing w:after="57"/>
      <w:ind w:right="0" w:firstLine="0" w:left="2268"/>
    </w:pPr>
  </w:style>
  <w:style w:type="paragraph" w:styleId="828">
    <w:name w:val="TOC Heading"/>
    <w:uiPriority w:val="39"/>
    <w:unhideWhenUsed/>
    <w:pPr>
      <w:pBdr/>
      <w:spacing/>
      <w:ind/>
    </w:pPr>
  </w:style>
  <w:style w:type="paragraph" w:styleId="829">
    <w:name w:val="table of figures"/>
    <w:basedOn w:val="830"/>
    <w:next w:val="830"/>
    <w:uiPriority w:val="99"/>
    <w:unhideWhenUsed/>
    <w:pPr>
      <w:pBdr/>
      <w:spacing w:after="0" w:afterAutospacing="0"/>
      <w:ind/>
    </w:pPr>
  </w:style>
  <w:style w:type="paragraph" w:styleId="830" w:default="1">
    <w:name w:val="Normal"/>
    <w:qFormat/>
    <w:pPr>
      <w:pBdr/>
      <w:spacing w:after="0" w:line="240" w:lineRule="auto"/>
      <w:ind/>
    </w:pPr>
    <w:rPr>
      <w:sz w:val="24"/>
      <w:szCs w:val="24"/>
    </w:rPr>
  </w:style>
  <w:style w:type="paragraph" w:styleId="831">
    <w:name w:val="Heading 1"/>
    <w:basedOn w:val="830"/>
    <w:next w:val="830"/>
    <w:link w:val="835"/>
    <w:uiPriority w:val="99"/>
    <w:qFormat/>
    <w:pPr>
      <w:keepNext w:val="true"/>
      <w:pBdr/>
      <w:spacing w:after="60" w:before="240"/>
      <w:ind/>
      <w:outlineLvl w:val="0"/>
    </w:pPr>
    <w:rPr>
      <w:rFonts w:ascii="Arial" w:hAnsi="Arial" w:cs="Arial"/>
      <w:b/>
      <w:bCs/>
      <w:sz w:val="32"/>
      <w:szCs w:val="32"/>
      <w:lang w:val="en-AU" w:eastAsia="en-US"/>
    </w:rPr>
  </w:style>
  <w:style w:type="character" w:styleId="832" w:default="1">
    <w:name w:val="Default Paragraph Font"/>
    <w:uiPriority w:val="1"/>
    <w:semiHidden/>
    <w:unhideWhenUsed/>
    <w:pPr>
      <w:pBdr/>
      <w:spacing/>
      <w:ind/>
    </w:pPr>
  </w:style>
  <w:style w:type="table" w:styleId="833" w:default="1">
    <w:name w:val="Normal Table"/>
    <w:uiPriority w:val="99"/>
    <w:semiHidden/>
    <w:unhideWhenUsed/>
    <w:qFormat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34" w:default="1">
    <w:name w:val="No List"/>
    <w:uiPriority w:val="99"/>
    <w:semiHidden/>
    <w:unhideWhenUsed/>
    <w:pPr>
      <w:pBdr/>
      <w:spacing/>
      <w:ind/>
    </w:pPr>
  </w:style>
  <w:style w:type="character" w:styleId="835" w:customStyle="1">
    <w:name w:val="Заголовок 1 Знак"/>
    <w:basedOn w:val="832"/>
    <w:link w:val="831"/>
    <w:uiPriority w:val="99"/>
    <w:pPr>
      <w:pBdr/>
      <w:spacing/>
      <w:ind/>
    </w:pPr>
    <w:rPr>
      <w:rFonts w:ascii="Arial" w:hAnsi="Arial" w:cs="Arial"/>
      <w:b/>
      <w:bCs/>
      <w:sz w:val="32"/>
      <w:szCs w:val="32"/>
      <w:lang w:val="en-AU" w:eastAsia="en-US"/>
    </w:rPr>
  </w:style>
  <w:style w:type="character" w:styleId="836">
    <w:name w:val="Hyperlink"/>
    <w:basedOn w:val="832"/>
    <w:uiPriority w:val="99"/>
    <w:pPr>
      <w:pBdr/>
      <w:spacing/>
      <w:ind/>
    </w:pPr>
    <w:rPr>
      <w:rFonts w:cs="Times New Roman"/>
      <w:color w:val="0000ff"/>
      <w:u w:val="single"/>
    </w:rPr>
  </w:style>
  <w:style w:type="paragraph" w:styleId="837">
    <w:name w:val="Balloon Text"/>
    <w:basedOn w:val="830"/>
    <w:link w:val="838"/>
    <w:uiPriority w:val="99"/>
    <w:semiHidden/>
    <w:pPr>
      <w:pBdr/>
      <w:spacing/>
      <w:ind/>
    </w:pPr>
    <w:rPr>
      <w:rFonts w:ascii="Tahoma" w:hAnsi="Tahoma" w:cs="Tahoma"/>
      <w:sz w:val="16"/>
      <w:szCs w:val="16"/>
    </w:rPr>
  </w:style>
  <w:style w:type="character" w:styleId="838" w:customStyle="1">
    <w:name w:val="Текст выноски Знак"/>
    <w:basedOn w:val="832"/>
    <w:link w:val="837"/>
    <w:uiPriority w:val="99"/>
    <w:semiHidden/>
    <w:pPr>
      <w:pBdr/>
      <w:spacing/>
      <w:ind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http://www.astra-nevod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>123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26 к Положению о</dc:title>
  <dc:creator>User</dc:creator>
  <cp:revision>12</cp:revision>
  <dcterms:created xsi:type="dcterms:W3CDTF">2024-07-01T11:23:00Z</dcterms:created>
  <dcterms:modified xsi:type="dcterms:W3CDTF">2026-07-06T07:11:23Z</dcterms:modified>
</cp:coreProperties>
</file>