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6AF" w:rsidRDefault="008943A1" w:rsidP="008943A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none"/>
          <w:lang w:eastAsia="ru-RU"/>
        </w:rPr>
      </w:pPr>
      <w:r w:rsidRPr="008C0C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none"/>
          <w:lang w:eastAsia="ru-RU"/>
        </w:rPr>
        <w:t>Акционеру</w:t>
      </w:r>
      <w:r w:rsidRPr="008816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none"/>
          <w:lang w:eastAsia="ru-RU"/>
        </w:rPr>
        <w:t xml:space="preserve"> </w:t>
      </w:r>
    </w:p>
    <w:p w:rsidR="008943A1" w:rsidRPr="008816AF" w:rsidRDefault="00B446B3" w:rsidP="008943A1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none"/>
          <w:lang w:eastAsia="ru-RU"/>
        </w:rPr>
      </w:pPr>
      <w:r w:rsidRPr="008C0C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none"/>
          <w:lang w:eastAsia="ru-RU"/>
        </w:rPr>
        <w:t>АО «</w:t>
      </w:r>
      <w:r w:rsidR="008816AF" w:rsidRPr="008816A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none"/>
          <w:lang w:eastAsia="ru-RU"/>
        </w:rPr>
        <w:t>Астраханская сетевязальная фабрика</w:t>
      </w:r>
      <w:r w:rsidRPr="008C0C6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none"/>
          <w:lang w:eastAsia="ru-RU"/>
        </w:rPr>
        <w:t>»</w:t>
      </w:r>
    </w:p>
    <w:p w:rsidR="00CC614B" w:rsidRPr="008C0C63" w:rsidRDefault="00346B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none"/>
          <w:lang w:eastAsia="ru-RU"/>
        </w:rPr>
      </w:pPr>
      <w:r w:rsidRPr="008C0C63">
        <w:rPr>
          <w:rFonts w:ascii="Times New Roman" w:eastAsia="Times New Roman" w:hAnsi="Times New Roman" w:cs="Times New Roman"/>
          <w:b/>
          <w:bCs/>
          <w:caps/>
          <w:sz w:val="24"/>
          <w:szCs w:val="24"/>
          <w:u w:val="none"/>
          <w:lang w:eastAsia="ru-RU"/>
        </w:rPr>
        <w:t>СООБЩЕНИЕ</w:t>
      </w:r>
    </w:p>
    <w:p w:rsidR="00CC614B" w:rsidRPr="008C0C63" w:rsidRDefault="000F1C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</w:pPr>
      <w:r w:rsidRPr="008C0C63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о проведении общего собрания акционеров</w:t>
      </w:r>
    </w:p>
    <w:p w:rsidR="00D5351F" w:rsidRPr="00E4019E" w:rsidRDefault="008816AF" w:rsidP="008816AF">
      <w:pPr>
        <w:pStyle w:val="ae"/>
        <w:ind w:firstLine="0"/>
        <w:jc w:val="both"/>
      </w:pPr>
      <w:r>
        <w:rPr>
          <w:sz w:val="24"/>
          <w:szCs w:val="24"/>
        </w:rPr>
        <w:t>А</w:t>
      </w:r>
      <w:r w:rsidR="00BF1D7B" w:rsidRPr="008C0C63">
        <w:rPr>
          <w:sz w:val="24"/>
          <w:szCs w:val="24"/>
        </w:rPr>
        <w:t xml:space="preserve">кционерное общество </w:t>
      </w:r>
      <w:r w:rsidR="00B446B3" w:rsidRPr="008C0C63">
        <w:rPr>
          <w:sz w:val="24"/>
          <w:szCs w:val="24"/>
        </w:rPr>
        <w:t>«</w:t>
      </w:r>
      <w:r w:rsidRPr="008816AF">
        <w:rPr>
          <w:sz w:val="24"/>
          <w:szCs w:val="24"/>
        </w:rPr>
        <w:t>Астраханская сетевязальная фабрика</w:t>
      </w:r>
      <w:r w:rsidR="00B446B3" w:rsidRPr="008C0C63">
        <w:rPr>
          <w:sz w:val="24"/>
          <w:szCs w:val="24"/>
        </w:rPr>
        <w:t>»</w:t>
      </w:r>
      <w:r w:rsidR="008943A1" w:rsidRPr="008C0C63">
        <w:rPr>
          <w:sz w:val="24"/>
          <w:szCs w:val="24"/>
        </w:rPr>
        <w:t xml:space="preserve">, </w:t>
      </w:r>
      <w:r w:rsidR="00D5351F" w:rsidRPr="00E4019E">
        <w:t>проводит общее собрание акционеров в форме заочного голосования.</w:t>
      </w:r>
    </w:p>
    <w:p w:rsidR="008816AF" w:rsidRDefault="008816AF" w:rsidP="008816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u w:val="none"/>
        </w:rPr>
      </w:pPr>
    </w:p>
    <w:p w:rsidR="00D5351F" w:rsidRPr="00E4019E" w:rsidRDefault="00D5351F" w:rsidP="008816A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u w:val="none"/>
        </w:rPr>
      </w:pPr>
      <w:r w:rsidRPr="00E4019E">
        <w:rPr>
          <w:rFonts w:ascii="Times New Roman" w:hAnsi="Times New Roman" w:cs="Times New Roman"/>
          <w:u w:val="none"/>
        </w:rPr>
        <w:t xml:space="preserve">Дата окончания приема бюллетеней: </w:t>
      </w:r>
      <w:r w:rsidR="008816AF">
        <w:rPr>
          <w:rFonts w:ascii="Times New Roman" w:hAnsi="Times New Roman" w:cs="Times New Roman"/>
          <w:u w:val="none"/>
        </w:rPr>
        <w:t>29</w:t>
      </w:r>
      <w:r w:rsidRPr="00E4019E">
        <w:rPr>
          <w:rFonts w:ascii="Times New Roman" w:hAnsi="Times New Roman" w:cs="Times New Roman"/>
          <w:u w:val="none"/>
        </w:rPr>
        <w:t>.0</w:t>
      </w:r>
      <w:r w:rsidR="00580A14">
        <w:rPr>
          <w:rFonts w:ascii="Times New Roman" w:hAnsi="Times New Roman" w:cs="Times New Roman"/>
          <w:u w:val="none"/>
        </w:rPr>
        <w:t>5</w:t>
      </w:r>
      <w:r w:rsidRPr="00E4019E">
        <w:rPr>
          <w:rFonts w:ascii="Times New Roman" w:hAnsi="Times New Roman" w:cs="Times New Roman"/>
          <w:u w:val="none"/>
        </w:rPr>
        <w:t>.202</w:t>
      </w:r>
      <w:r w:rsidR="008816AF">
        <w:rPr>
          <w:rFonts w:ascii="Times New Roman" w:hAnsi="Times New Roman" w:cs="Times New Roman"/>
          <w:u w:val="none"/>
        </w:rPr>
        <w:t>4</w:t>
      </w:r>
      <w:r w:rsidRPr="00E4019E">
        <w:rPr>
          <w:rFonts w:ascii="Times New Roman" w:hAnsi="Times New Roman" w:cs="Times New Roman"/>
          <w:u w:val="none"/>
        </w:rPr>
        <w:t xml:space="preserve"> года;</w:t>
      </w:r>
    </w:p>
    <w:p w:rsidR="008816AF" w:rsidRDefault="008816AF" w:rsidP="008816AF">
      <w:pPr>
        <w:pStyle w:val="ac"/>
      </w:pPr>
    </w:p>
    <w:p w:rsidR="00D5351F" w:rsidRDefault="00D5351F" w:rsidP="008816AF">
      <w:pPr>
        <w:pStyle w:val="ac"/>
      </w:pPr>
      <w:r w:rsidRPr="00E4019E">
        <w:t>Лица, включенные в список лиц, имеющих право на участие в общем собрании акционеров, или их представители вправе зарегистрироваться для участия в таком собрании, направив заполненные бюллетени в общество.</w:t>
      </w:r>
    </w:p>
    <w:p w:rsidR="0077253D" w:rsidRDefault="0077253D" w:rsidP="008816AF">
      <w:pPr>
        <w:pStyle w:val="ac"/>
      </w:pPr>
    </w:p>
    <w:p w:rsidR="0077253D" w:rsidRPr="0077253D" w:rsidRDefault="0077253D" w:rsidP="0077253D">
      <w:pPr>
        <w:pStyle w:val="ac"/>
      </w:pPr>
      <w:r w:rsidRPr="0077253D">
        <w:t>Не позднее «2</w:t>
      </w:r>
      <w:r>
        <w:t>8</w:t>
      </w:r>
      <w:r w:rsidRPr="0077253D">
        <w:t>» мая 2024 г. (включительно) бюллетени для голосования, заполненные в бумажной форме, должны поступить в</w:t>
      </w:r>
      <w:r>
        <w:t xml:space="preserve"> общество</w:t>
      </w:r>
      <w:r w:rsidRPr="0077253D">
        <w:t xml:space="preserve">. Сообщения о волеизъявлении лиц, которые имеют право на участие в Собрании, но не зарегистрированы в реестре акционеров Общества, должны поступить в </w:t>
      </w:r>
      <w:r w:rsidRPr="0077253D">
        <w:t>АО "Астраханская сетевязальная фабрика"</w:t>
      </w:r>
      <w:r w:rsidRPr="0077253D">
        <w:t>, также не позднее «2</w:t>
      </w:r>
      <w:r>
        <w:t>8</w:t>
      </w:r>
      <w:r w:rsidRPr="0077253D">
        <w:t>» мая 2024 г. (включительно). Бюллетени и сообщения о волеизъявлении, поступившие после указанной даты, не будут учитываться при определении кворума Собрания и подведении итогов голосования.</w:t>
      </w:r>
    </w:p>
    <w:p w:rsidR="0077253D" w:rsidRPr="00E4019E" w:rsidRDefault="0077253D" w:rsidP="008816AF">
      <w:pPr>
        <w:pStyle w:val="ac"/>
      </w:pPr>
    </w:p>
    <w:p w:rsidR="008816AF" w:rsidRDefault="00D5351F" w:rsidP="008816AF">
      <w:pPr>
        <w:pStyle w:val="ac"/>
      </w:pPr>
      <w:bookmarkStart w:id="0" w:name="_GoBack"/>
      <w:bookmarkEnd w:id="0"/>
      <w:r w:rsidRPr="00D5351F">
        <w:t xml:space="preserve">Почтовый адрес, по которому могут направляться заполненные бюллетени: </w:t>
      </w:r>
      <w:r w:rsidR="008816AF">
        <w:t xml:space="preserve">414004, </w:t>
      </w:r>
      <w:r w:rsidR="008816AF" w:rsidRPr="008816AF">
        <w:t>г. Астрахань, ул. Красная Набережная, 171.</w:t>
      </w:r>
    </w:p>
    <w:p w:rsidR="008816AF" w:rsidRDefault="008816AF" w:rsidP="008816AF">
      <w:pPr>
        <w:pStyle w:val="ac"/>
      </w:pPr>
    </w:p>
    <w:p w:rsidR="00D5351F" w:rsidRPr="00D5351F" w:rsidRDefault="008816AF" w:rsidP="008816AF">
      <w:pPr>
        <w:pStyle w:val="ac"/>
      </w:pPr>
      <w:r w:rsidRPr="008816AF">
        <w:t>Дата определения (фиксации) лиц, имеющих</w:t>
      </w:r>
    </w:p>
    <w:p w:rsidR="00D5351F" w:rsidRPr="00E4019E" w:rsidRDefault="00D5351F" w:rsidP="008816AF">
      <w:pPr>
        <w:pStyle w:val="ac"/>
      </w:pPr>
      <w:r w:rsidRPr="00E4019E">
        <w:t xml:space="preserve">дата, на которую определяются (фиксируются) лица, имеющие право на участие в общем собрании акционеров </w:t>
      </w:r>
      <w:r w:rsidR="008816AF">
        <w:t>05.05.</w:t>
      </w:r>
      <w:r w:rsidRPr="00E4019E">
        <w:t>202</w:t>
      </w:r>
      <w:r w:rsidR="008816AF">
        <w:t>4</w:t>
      </w:r>
      <w:r w:rsidRPr="00E4019E">
        <w:t xml:space="preserve"> года.</w:t>
      </w:r>
    </w:p>
    <w:p w:rsidR="008943A1" w:rsidRPr="008C0C63" w:rsidRDefault="008943A1" w:rsidP="00D535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</w:pPr>
      <w:r w:rsidRPr="008C0C63">
        <w:rPr>
          <w:rFonts w:ascii="Times New Roman" w:eastAsia="Times New Roman" w:hAnsi="Times New Roman" w:cs="Times New Roman"/>
          <w:b/>
          <w:bCs/>
          <w:sz w:val="24"/>
          <w:szCs w:val="24"/>
          <w:u w:val="none"/>
          <w:lang w:eastAsia="ru-RU"/>
        </w:rPr>
        <w:t>ПОВЕСТКА ДНЯ ОБЩЕГО СОБРАНИЯ АКЦИОНЕРОВ:</w:t>
      </w:r>
    </w:p>
    <w:p w:rsidR="008816AF" w:rsidRDefault="008816AF" w:rsidP="008816AF">
      <w:pPr>
        <w:pStyle w:val="ac"/>
        <w:numPr>
          <w:ilvl w:val="0"/>
          <w:numId w:val="8"/>
        </w:numPr>
        <w:jc w:val="left"/>
      </w:pPr>
      <w:r w:rsidRPr="008816AF">
        <w:t>Утверждение годового отчета общества по результатам отчетного 2023 года.</w:t>
      </w:r>
    </w:p>
    <w:p w:rsidR="008816AF" w:rsidRDefault="008816AF" w:rsidP="008816AF">
      <w:pPr>
        <w:pStyle w:val="ac"/>
        <w:numPr>
          <w:ilvl w:val="0"/>
          <w:numId w:val="8"/>
        </w:numPr>
        <w:jc w:val="left"/>
      </w:pPr>
      <w:r w:rsidRPr="008816AF">
        <w:t>Утверждение годовой бухгалтерской (финансовой) отчетности общества по итогам 2023 года.</w:t>
      </w:r>
    </w:p>
    <w:p w:rsidR="008816AF" w:rsidRDefault="008816AF" w:rsidP="008816AF">
      <w:pPr>
        <w:pStyle w:val="ac"/>
        <w:numPr>
          <w:ilvl w:val="0"/>
          <w:numId w:val="8"/>
        </w:numPr>
        <w:jc w:val="left"/>
      </w:pPr>
      <w:r w:rsidRPr="008816AF">
        <w:t>Утверждение распределения прибыли и убытков общества по результатам отчетного 2023 г.</w:t>
      </w:r>
    </w:p>
    <w:p w:rsidR="008816AF" w:rsidRDefault="008816AF" w:rsidP="008816AF">
      <w:pPr>
        <w:pStyle w:val="ac"/>
        <w:numPr>
          <w:ilvl w:val="0"/>
          <w:numId w:val="8"/>
        </w:numPr>
        <w:jc w:val="left"/>
      </w:pPr>
      <w:r w:rsidRPr="008816AF">
        <w:t>Утверждение размера и сроков выплат вознаграждения членам Наблюдательного совета общества за исполнение ими своих обязанностей и компенсации расходов, связанных с исполнением ими функций членов Наблюдательного совета.</w:t>
      </w:r>
    </w:p>
    <w:p w:rsidR="008816AF" w:rsidRDefault="008816AF" w:rsidP="008816AF">
      <w:pPr>
        <w:pStyle w:val="ac"/>
        <w:numPr>
          <w:ilvl w:val="0"/>
          <w:numId w:val="8"/>
        </w:numPr>
        <w:jc w:val="left"/>
      </w:pPr>
      <w:r w:rsidRPr="008816AF">
        <w:t>Избрание членов Наблюдательного Совета.</w:t>
      </w:r>
    </w:p>
    <w:p w:rsidR="008816AF" w:rsidRDefault="008816AF" w:rsidP="008816AF">
      <w:pPr>
        <w:pStyle w:val="ac"/>
        <w:numPr>
          <w:ilvl w:val="0"/>
          <w:numId w:val="8"/>
        </w:numPr>
        <w:jc w:val="left"/>
      </w:pPr>
      <w:r w:rsidRPr="008816AF">
        <w:t>Избрание членов ревизионной комиссии общества.</w:t>
      </w:r>
    </w:p>
    <w:p w:rsidR="008816AF" w:rsidRDefault="008816AF" w:rsidP="008816AF">
      <w:pPr>
        <w:pStyle w:val="ac"/>
        <w:numPr>
          <w:ilvl w:val="0"/>
          <w:numId w:val="8"/>
        </w:numPr>
        <w:jc w:val="left"/>
      </w:pPr>
      <w:r w:rsidRPr="008816AF">
        <w:t>Определении размера переменной части вознаграждения для каждого из членов Наблюдательного совета.</w:t>
      </w:r>
    </w:p>
    <w:p w:rsidR="00CC614B" w:rsidRDefault="008943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</w:pPr>
      <w:r w:rsidRPr="008C0C63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С информацией (материалами), подлежащими предоставлению лицам, имеющим право на участие в общем собрании, акционеры могут ознакомиться в помещении исполнительного органа общества по месту нахождения общества:</w:t>
      </w:r>
      <w:r w:rsidR="00BF1D7B" w:rsidRPr="008C0C63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8816AF" w:rsidRPr="008816AF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г. Астрахань, ул. Красная Набережная, 171</w:t>
      </w:r>
      <w:r w:rsidR="00735BE8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,</w:t>
      </w:r>
      <w:r w:rsidR="008816AF" w:rsidRPr="008816AF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в рабочие дни с 09.00 по 12.00 с 09.05.2024</w:t>
      </w:r>
      <w:r w:rsidR="00735BE8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8816AF" w:rsidRPr="008816AF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года.</w:t>
      </w:r>
    </w:p>
    <w:p w:rsidR="00A40A68" w:rsidRPr="008C0C63" w:rsidRDefault="00A40A68" w:rsidP="00A40A68">
      <w:pPr>
        <w:pStyle w:val="Default"/>
        <w:rPr>
          <w:rFonts w:ascii="Times New Roman" w:eastAsia="Times New Roman" w:hAnsi="Times New Roman" w:cs="Times New Roman"/>
          <w:lang w:eastAsia="ru-RU"/>
        </w:rPr>
      </w:pPr>
    </w:p>
    <w:p w:rsidR="00BF1D7B" w:rsidRPr="008C0C63" w:rsidRDefault="00400913" w:rsidP="00BF1D7B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non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Наблюдательный с</w:t>
      </w:r>
      <w:r w:rsidR="00346B56" w:rsidRPr="008C0C63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овет</w:t>
      </w:r>
      <w:r w:rsidR="00BF1D7B" w:rsidRPr="008C0C63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 xml:space="preserve"> </w:t>
      </w:r>
      <w:r w:rsidR="00EB7B11" w:rsidRPr="008C0C63">
        <w:rPr>
          <w:rFonts w:ascii="Times New Roman" w:hAnsi="Times New Roman"/>
          <w:sz w:val="24"/>
          <w:szCs w:val="24"/>
          <w:u w:val="none"/>
        </w:rPr>
        <w:t>АО «</w:t>
      </w:r>
      <w:r w:rsidR="008816AF" w:rsidRPr="008816AF">
        <w:rPr>
          <w:rFonts w:ascii="Times New Roman" w:eastAsia="Times New Roman" w:hAnsi="Times New Roman" w:cs="Times New Roman"/>
          <w:sz w:val="24"/>
          <w:szCs w:val="24"/>
          <w:u w:val="none"/>
          <w:lang w:eastAsia="ru-RU"/>
        </w:rPr>
        <w:t>Астраханская сетевязальная фабрика</w:t>
      </w:r>
      <w:r w:rsidR="00EB7B11" w:rsidRPr="008C0C63">
        <w:rPr>
          <w:rFonts w:ascii="Times New Roman" w:hAnsi="Times New Roman"/>
          <w:sz w:val="24"/>
          <w:szCs w:val="24"/>
          <w:u w:val="none"/>
        </w:rPr>
        <w:t>»</w:t>
      </w:r>
    </w:p>
    <w:sectPr w:rsidR="00BF1D7B" w:rsidRPr="008C0C63" w:rsidSect="003758D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CDB" w:rsidRDefault="00571CDB" w:rsidP="008943A1">
      <w:pPr>
        <w:spacing w:after="0" w:line="240" w:lineRule="auto"/>
      </w:pPr>
      <w:r>
        <w:separator/>
      </w:r>
    </w:p>
  </w:endnote>
  <w:endnote w:type="continuationSeparator" w:id="0">
    <w:p w:rsidR="00571CDB" w:rsidRDefault="00571CDB" w:rsidP="0089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CDB" w:rsidRDefault="00571CDB" w:rsidP="008943A1">
      <w:pPr>
        <w:spacing w:after="0" w:line="240" w:lineRule="auto"/>
      </w:pPr>
      <w:r>
        <w:separator/>
      </w:r>
    </w:p>
  </w:footnote>
  <w:footnote w:type="continuationSeparator" w:id="0">
    <w:p w:rsidR="00571CDB" w:rsidRDefault="00571CDB" w:rsidP="0089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30F" w:rsidRPr="008C0C63" w:rsidRDefault="008816AF" w:rsidP="00B1630F">
    <w:pPr>
      <w:pStyle w:val="aa"/>
      <w:pBdr>
        <w:bottom w:val="single" w:sz="6" w:space="1" w:color="auto"/>
      </w:pBdr>
      <w:rPr>
        <w:b w:val="0"/>
        <w:szCs w:val="24"/>
      </w:rPr>
    </w:pPr>
    <w:r>
      <w:rPr>
        <w:b w:val="0"/>
        <w:szCs w:val="24"/>
      </w:rPr>
      <w:t>А</w:t>
    </w:r>
    <w:r w:rsidR="00B1630F" w:rsidRPr="008C0C63">
      <w:rPr>
        <w:b w:val="0"/>
        <w:szCs w:val="24"/>
      </w:rPr>
      <w:t xml:space="preserve">кционерное общество </w:t>
    </w:r>
  </w:p>
  <w:p w:rsidR="008943A1" w:rsidRPr="008C0C63" w:rsidRDefault="00B1630F" w:rsidP="00B1630F">
    <w:pPr>
      <w:pStyle w:val="aa"/>
      <w:pBdr>
        <w:bottom w:val="single" w:sz="6" w:space="1" w:color="auto"/>
      </w:pBdr>
      <w:rPr>
        <w:rFonts w:asciiTheme="majorHAnsi" w:eastAsiaTheme="majorEastAsia" w:hAnsiTheme="majorHAnsi" w:cstheme="majorBidi"/>
        <w:szCs w:val="24"/>
      </w:rPr>
    </w:pPr>
    <w:r w:rsidRPr="008C0C63">
      <w:rPr>
        <w:b w:val="0"/>
        <w:szCs w:val="24"/>
      </w:rPr>
      <w:t>«</w:t>
    </w:r>
    <w:r w:rsidR="008816AF">
      <w:rPr>
        <w:szCs w:val="24"/>
      </w:rPr>
      <w:t>Астраханская сетевязальная фабрика</w:t>
    </w:r>
    <w:r w:rsidRPr="008C0C63">
      <w:rPr>
        <w:b w:val="0"/>
        <w:szCs w:val="24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E006A"/>
    <w:multiLevelType w:val="multilevel"/>
    <w:tmpl w:val="EF4CF5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BE7675"/>
    <w:multiLevelType w:val="multilevel"/>
    <w:tmpl w:val="7F265D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E3DCC"/>
    <w:multiLevelType w:val="multilevel"/>
    <w:tmpl w:val="EFB22B82"/>
    <w:styleLink w:val="WWNum31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1.%2.%3."/>
      <w:lvlJc w:val="right"/>
      <w:pPr>
        <w:ind w:left="2226" w:hanging="180"/>
      </w:pPr>
    </w:lvl>
    <w:lvl w:ilvl="3">
      <w:start w:val="1"/>
      <w:numFmt w:val="decimal"/>
      <w:lvlText w:val="%1.%2.%3.%4."/>
      <w:lvlJc w:val="left"/>
      <w:pPr>
        <w:ind w:left="2946" w:hanging="360"/>
      </w:pPr>
    </w:lvl>
    <w:lvl w:ilvl="4">
      <w:start w:val="1"/>
      <w:numFmt w:val="lowerLetter"/>
      <w:lvlText w:val="%1.%2.%3.%4.%5."/>
      <w:lvlJc w:val="left"/>
      <w:pPr>
        <w:ind w:left="3666" w:hanging="360"/>
      </w:pPr>
    </w:lvl>
    <w:lvl w:ilvl="5">
      <w:start w:val="1"/>
      <w:numFmt w:val="lowerRoman"/>
      <w:lvlText w:val="%1.%2.%3.%4.%5.%6."/>
      <w:lvlJc w:val="right"/>
      <w:pPr>
        <w:ind w:left="4386" w:hanging="180"/>
      </w:pPr>
    </w:lvl>
    <w:lvl w:ilvl="6">
      <w:start w:val="1"/>
      <w:numFmt w:val="decimal"/>
      <w:lvlText w:val="%1.%2.%3.%4.%5.%6.%7."/>
      <w:lvlJc w:val="left"/>
      <w:pPr>
        <w:ind w:left="5106" w:hanging="360"/>
      </w:pPr>
    </w:lvl>
    <w:lvl w:ilvl="7">
      <w:start w:val="1"/>
      <w:numFmt w:val="lowerLetter"/>
      <w:lvlText w:val="%1.%2.%3.%4.%5.%6.%7.%8."/>
      <w:lvlJc w:val="left"/>
      <w:pPr>
        <w:ind w:left="5826" w:hanging="360"/>
      </w:pPr>
    </w:lvl>
    <w:lvl w:ilvl="8">
      <w:start w:val="1"/>
      <w:numFmt w:val="lowerRoman"/>
      <w:lvlText w:val="%1.%2.%3.%4.%5.%6.%7.%8.%9."/>
      <w:lvlJc w:val="right"/>
      <w:pPr>
        <w:ind w:left="6546" w:hanging="180"/>
      </w:pPr>
    </w:lvl>
  </w:abstractNum>
  <w:abstractNum w:abstractNumId="3" w15:restartNumberingAfterBreak="0">
    <w:nsid w:val="3EC66F3B"/>
    <w:multiLevelType w:val="hybridMultilevel"/>
    <w:tmpl w:val="E2940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685D4C"/>
    <w:multiLevelType w:val="multilevel"/>
    <w:tmpl w:val="CA304CC6"/>
    <w:styleLink w:val="WWNum28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" w15:restartNumberingAfterBreak="0">
    <w:nsid w:val="56676746"/>
    <w:multiLevelType w:val="hybridMultilevel"/>
    <w:tmpl w:val="D4520296"/>
    <w:lvl w:ilvl="0" w:tplc="BA8867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D1345E"/>
    <w:multiLevelType w:val="hybridMultilevel"/>
    <w:tmpl w:val="3AEA76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3A1"/>
    <w:rsid w:val="0006139D"/>
    <w:rsid w:val="000F1C18"/>
    <w:rsid w:val="00150E49"/>
    <w:rsid w:val="00176691"/>
    <w:rsid w:val="001B5807"/>
    <w:rsid w:val="0020423A"/>
    <w:rsid w:val="00293F6B"/>
    <w:rsid w:val="00346B56"/>
    <w:rsid w:val="003758DE"/>
    <w:rsid w:val="00400913"/>
    <w:rsid w:val="0040134B"/>
    <w:rsid w:val="00407180"/>
    <w:rsid w:val="004935BE"/>
    <w:rsid w:val="004F1A09"/>
    <w:rsid w:val="00571CDB"/>
    <w:rsid w:val="00580A14"/>
    <w:rsid w:val="005C5ABB"/>
    <w:rsid w:val="00735BE8"/>
    <w:rsid w:val="0077253D"/>
    <w:rsid w:val="00827CCD"/>
    <w:rsid w:val="0086304F"/>
    <w:rsid w:val="008816AF"/>
    <w:rsid w:val="008943A1"/>
    <w:rsid w:val="008C0C63"/>
    <w:rsid w:val="00916B40"/>
    <w:rsid w:val="00A3118F"/>
    <w:rsid w:val="00A40A68"/>
    <w:rsid w:val="00A90CA9"/>
    <w:rsid w:val="00A955E8"/>
    <w:rsid w:val="00B1630F"/>
    <w:rsid w:val="00B446B3"/>
    <w:rsid w:val="00B811C8"/>
    <w:rsid w:val="00BF1D7B"/>
    <w:rsid w:val="00C241FA"/>
    <w:rsid w:val="00CC614B"/>
    <w:rsid w:val="00CD7B86"/>
    <w:rsid w:val="00D5351F"/>
    <w:rsid w:val="00E43C5D"/>
    <w:rsid w:val="00EB7B11"/>
    <w:rsid w:val="00FC2860"/>
    <w:rsid w:val="00FD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AEB3A"/>
  <w15:docId w15:val="{1AED290F-63DC-4103-8DE7-8A1D186E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эмитент"/>
    <w:qFormat/>
    <w:rsid w:val="0086304F"/>
    <w:pPr>
      <w:spacing w:after="160" w:line="259" w:lineRule="auto"/>
    </w:pPr>
    <w:rPr>
      <w:u w:val="single"/>
    </w:rPr>
  </w:style>
  <w:style w:type="paragraph" w:styleId="1">
    <w:name w:val="heading 1"/>
    <w:basedOn w:val="a"/>
    <w:next w:val="a"/>
    <w:link w:val="10"/>
    <w:autoRedefine/>
    <w:uiPriority w:val="9"/>
    <w:qFormat/>
    <w:rsid w:val="00A3118F"/>
    <w:pPr>
      <w:widowControl w:val="0"/>
      <w:autoSpaceDE w:val="0"/>
      <w:autoSpaceDN w:val="0"/>
      <w:adjustRightInd w:val="0"/>
      <w:spacing w:after="360" w:line="240" w:lineRule="auto"/>
      <w:ind w:firstLine="567"/>
      <w:jc w:val="center"/>
      <w:outlineLvl w:val="0"/>
    </w:pPr>
    <w:rPr>
      <w:rFonts w:ascii="Times New Roman" w:hAnsi="Times New Roman"/>
      <w:b/>
      <w:color w:val="000000"/>
      <w:kern w:val="24"/>
      <w:sz w:val="36"/>
      <w:szCs w:val="48"/>
      <w:u w:val="none"/>
    </w:rPr>
  </w:style>
  <w:style w:type="paragraph" w:styleId="2">
    <w:name w:val="heading 2"/>
    <w:basedOn w:val="a"/>
    <w:next w:val="a"/>
    <w:link w:val="20"/>
    <w:autoRedefine/>
    <w:uiPriority w:val="9"/>
    <w:qFormat/>
    <w:rsid w:val="00A3118F"/>
    <w:pPr>
      <w:widowControl w:val="0"/>
      <w:autoSpaceDE w:val="0"/>
      <w:autoSpaceDN w:val="0"/>
      <w:adjustRightInd w:val="0"/>
      <w:spacing w:after="0" w:line="240" w:lineRule="auto"/>
      <w:ind w:firstLine="567"/>
      <w:outlineLvl w:val="1"/>
    </w:pPr>
    <w:rPr>
      <w:rFonts w:ascii="Times New Roman" w:hAnsi="Times New Roman"/>
      <w:b/>
      <w:color w:val="000000"/>
      <w:kern w:val="24"/>
      <w:sz w:val="32"/>
      <w:szCs w:val="40"/>
      <w:u w:val="none"/>
    </w:rPr>
  </w:style>
  <w:style w:type="paragraph" w:styleId="3">
    <w:name w:val="heading 3"/>
    <w:basedOn w:val="a"/>
    <w:link w:val="30"/>
    <w:uiPriority w:val="9"/>
    <w:qFormat/>
    <w:rsid w:val="008943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no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18F"/>
    <w:rPr>
      <w:rFonts w:ascii="Times New Roman" w:hAnsi="Times New Roman"/>
      <w:b/>
      <w:color w:val="000000"/>
      <w:kern w:val="24"/>
      <w:sz w:val="36"/>
      <w:szCs w:val="48"/>
    </w:rPr>
  </w:style>
  <w:style w:type="character" w:customStyle="1" w:styleId="20">
    <w:name w:val="Заголовок 2 Знак"/>
    <w:basedOn w:val="a0"/>
    <w:link w:val="2"/>
    <w:uiPriority w:val="9"/>
    <w:rsid w:val="00A3118F"/>
    <w:rPr>
      <w:rFonts w:ascii="Times New Roman" w:hAnsi="Times New Roman"/>
      <w:b/>
      <w:color w:val="000000"/>
      <w:kern w:val="24"/>
      <w:sz w:val="32"/>
      <w:szCs w:val="40"/>
    </w:rPr>
  </w:style>
  <w:style w:type="character" w:customStyle="1" w:styleId="30">
    <w:name w:val="Заголовок 3 Знак"/>
    <w:basedOn w:val="a0"/>
    <w:link w:val="3"/>
    <w:uiPriority w:val="9"/>
    <w:rsid w:val="008943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msonormalmailrucssattributepostfix">
    <w:name w:val="msonormal_mailru_css_attribute_postfix"/>
    <w:basedOn w:val="a"/>
    <w:qFormat/>
    <w:rsid w:val="00894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lang w:eastAsia="ru-RU"/>
    </w:rPr>
  </w:style>
  <w:style w:type="paragraph" w:styleId="a3">
    <w:name w:val="header"/>
    <w:basedOn w:val="a"/>
    <w:link w:val="a4"/>
    <w:uiPriority w:val="99"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3A1"/>
    <w:rPr>
      <w:u w:val="single"/>
    </w:rPr>
  </w:style>
  <w:style w:type="paragraph" w:styleId="a5">
    <w:name w:val="footer"/>
    <w:basedOn w:val="a"/>
    <w:link w:val="a6"/>
    <w:uiPriority w:val="99"/>
    <w:unhideWhenUsed/>
    <w:rsid w:val="0089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43A1"/>
    <w:rPr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9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3A1"/>
    <w:rPr>
      <w:rFonts w:ascii="Tahoma" w:hAnsi="Tahoma" w:cs="Tahoma"/>
      <w:sz w:val="16"/>
      <w:szCs w:val="16"/>
      <w:u w:val="single"/>
    </w:rPr>
  </w:style>
  <w:style w:type="paragraph" w:styleId="a9">
    <w:name w:val="List Paragraph"/>
    <w:basedOn w:val="a"/>
    <w:uiPriority w:val="34"/>
    <w:qFormat/>
    <w:rsid w:val="00346B56"/>
    <w:pPr>
      <w:ind w:left="720"/>
      <w:contextualSpacing/>
    </w:pPr>
  </w:style>
  <w:style w:type="paragraph" w:styleId="aa">
    <w:name w:val="Title"/>
    <w:basedOn w:val="a"/>
    <w:link w:val="ab"/>
    <w:qFormat/>
    <w:rsid w:val="00B163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u w:val="none"/>
      <w:lang w:eastAsia="ru-RU"/>
    </w:rPr>
  </w:style>
  <w:style w:type="character" w:customStyle="1" w:styleId="ab">
    <w:name w:val="Заголовок Знак"/>
    <w:basedOn w:val="a0"/>
    <w:link w:val="aa"/>
    <w:rsid w:val="00B1630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D5351F"/>
    <w:pPr>
      <w:widowControl w:val="0"/>
      <w:autoSpaceDE w:val="0"/>
      <w:autoSpaceDN w:val="0"/>
      <w:adjustRightInd w:val="0"/>
      <w:spacing w:after="0" w:line="240" w:lineRule="auto"/>
      <w:contextualSpacing/>
      <w:jc w:val="both"/>
    </w:pPr>
    <w:rPr>
      <w:rFonts w:ascii="Times New Roman" w:hAnsi="Times New Roman" w:cs="Times New Roman"/>
      <w:u w:val="none"/>
    </w:rPr>
  </w:style>
  <w:style w:type="character" w:customStyle="1" w:styleId="ad">
    <w:name w:val="Основной текст Знак"/>
    <w:basedOn w:val="a0"/>
    <w:link w:val="ac"/>
    <w:uiPriority w:val="99"/>
    <w:rsid w:val="00D5351F"/>
    <w:rPr>
      <w:rFonts w:ascii="Times New Roman" w:hAnsi="Times New Roman" w:cs="Times New Roman"/>
    </w:rPr>
  </w:style>
  <w:style w:type="paragraph" w:styleId="ae">
    <w:name w:val="Body Text Indent"/>
    <w:basedOn w:val="a"/>
    <w:link w:val="af"/>
    <w:uiPriority w:val="99"/>
    <w:unhideWhenUsed/>
    <w:rsid w:val="00D5351F"/>
    <w:pPr>
      <w:autoSpaceDE w:val="0"/>
      <w:autoSpaceDN w:val="0"/>
      <w:adjustRightInd w:val="0"/>
      <w:spacing w:after="0" w:line="240" w:lineRule="auto"/>
      <w:ind w:firstLine="540"/>
    </w:pPr>
    <w:rPr>
      <w:rFonts w:ascii="Times New Roman" w:eastAsia="Times New Roman" w:hAnsi="Times New Roman" w:cs="Times New Roman"/>
      <w:u w:val="none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5351F"/>
    <w:rPr>
      <w:rFonts w:ascii="Times New Roman" w:eastAsia="Times New Roman" w:hAnsi="Times New Roman" w:cs="Times New Roman"/>
      <w:lang w:eastAsia="ru-RU"/>
    </w:rPr>
  </w:style>
  <w:style w:type="paragraph" w:customStyle="1" w:styleId="Default">
    <w:name w:val="Default"/>
    <w:rsid w:val="00D5351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Textbody">
    <w:name w:val="Text body"/>
    <w:basedOn w:val="a"/>
    <w:rsid w:val="008816AF"/>
    <w:pPr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u w:val="none"/>
      <w:lang w:eastAsia="ru-RU"/>
    </w:rPr>
  </w:style>
  <w:style w:type="numbering" w:customStyle="1" w:styleId="WWNum28">
    <w:name w:val="WWNum28"/>
    <w:basedOn w:val="a2"/>
    <w:rsid w:val="008816AF"/>
    <w:pPr>
      <w:numPr>
        <w:numId w:val="5"/>
      </w:numPr>
    </w:pPr>
  </w:style>
  <w:style w:type="paragraph" w:customStyle="1" w:styleId="ConsPlusNormal">
    <w:name w:val="ConsPlusNormal"/>
    <w:rsid w:val="008816AF"/>
    <w:pPr>
      <w:suppressAutoHyphens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numbering" w:customStyle="1" w:styleId="WWNum31">
    <w:name w:val="WWNum31"/>
    <w:basedOn w:val="a2"/>
    <w:rsid w:val="008816AF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5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89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7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02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128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906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134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299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12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281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07501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5352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71171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49860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3029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485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754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5526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644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9984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88746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4998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1998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24119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001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1147064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61799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single" w:sz="8" w:space="1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Полежаева Юлия</cp:lastModifiedBy>
  <cp:revision>6</cp:revision>
  <dcterms:created xsi:type="dcterms:W3CDTF">2023-04-11T09:18:00Z</dcterms:created>
  <dcterms:modified xsi:type="dcterms:W3CDTF">2024-05-03T07:18:00Z</dcterms:modified>
</cp:coreProperties>
</file>